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1901-04-17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יחיאל ליפשיץ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רחמן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היג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כללי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עיקרי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כתב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המתוקן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1.10.16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האחר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u w:val="single"/>
          <w:rtl w:val="true"/>
        </w:rPr>
        <w:t>לשדוד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תחנת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טוטו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בטמרה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1.10.16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קסדות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וברשותם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cs="Calibri" w:ascii="Calibri" w:hAnsi="Calibri"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+</w:t>
      </w:r>
      <w:r>
        <w:rPr>
          <w:rFonts w:cs="Calibri" w:ascii="Calibri" w:hAnsi="Calibri"/>
          <w:rtl w:val="true"/>
        </w:rPr>
        <w:t xml:space="preserve"> </w:t>
      </w:r>
      <w:hyperlink r:id="rId15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cs="Calibri" w:ascii="Calibri" w:hAnsi="Calibri"/>
          <w:rtl w:val="true"/>
        </w:rPr>
        <w:t>+</w:t>
      </w:r>
      <w:hyperlink r:id="rId18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לשוד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סניף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הדואר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בטמרה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6.11.16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כנעאן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יגנבו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.,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סוזוקי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קסדות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ואוחזים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שברשותן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האופנוע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האופנוע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גניבת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+</w:t>
      </w:r>
      <w:r>
        <w:rPr>
          <w:rFonts w:cs="Calibri" w:ascii="Calibri" w:hAnsi="Calibri"/>
          <w:rtl w:val="true"/>
        </w:rPr>
        <w:t xml:space="preserve"> </w:t>
      </w:r>
      <w:hyperlink r:id="rId20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22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מקלע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מסוג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עוזי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מוסטפא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ובנוכחותו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לשחק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בידיעת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10.3.17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cs="Calibri" w:ascii="Calibri" w:hAnsi="Calibri"/>
          <w:rtl w:val="true"/>
        </w:rPr>
        <w:t>+</w:t>
      </w:r>
      <w:hyperlink r:id="rId24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עיקרי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שמייצגת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הנוכחים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קפדני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בקסדות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הצלחתו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כנעאן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פארס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לטמרה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1882-04-17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ריגושים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גברית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וכוחנית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השותפות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מוסטפא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ריגושים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בשגיאותיו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להיטמעות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דורנר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בשגיאותיו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מצטער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שעשיתי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לטיפול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במאסר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להשתקם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ולחזור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למשפחה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לארוסה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ולהתחתן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הזדמנות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דיון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ומסקנות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/>
      </w:pPr>
      <w:r>
        <w:rPr>
          <w:rFonts w:ascii="Calibri" w:hAnsi="Calibri" w:cs="Calibri"/>
          <w:rtl w:val="true"/>
        </w:rPr>
        <w:t>כקבוע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ובקצרה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ההיררכיה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גמולי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ולהרחבה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קובו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למערכת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ירחון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76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hyperlink r:id="rId26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5668/13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מזרחי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17.3.16</w:t>
      </w:r>
      <w:r>
        <w:rPr>
          <w:rFonts w:cs="Calibri" w:ascii="Calibri" w:hAnsi="Calibri"/>
          <w:rtl w:val="true"/>
        </w:rPr>
        <w:t>):"</w:t>
      </w:r>
      <w:r>
        <w:rPr>
          <w:rFonts w:ascii="Calibri" w:hAnsi="Calibri" w:cs="Calibri"/>
          <w:b/>
          <w:b/>
          <w:bCs/>
          <w:rtl w:val="true"/>
        </w:rPr>
        <w:t>ההבחנה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תרחיש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תרחיש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עוררה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ועודנה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מעוררת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קושי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העוסקים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במלאכת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קושי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נעוץ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בעובדה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שתיקון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113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הגדיר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המונח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cs="Calibri" w:ascii="Calibri" w:hAnsi="Calibri"/>
          <w:b/>
          <w:bCs/>
          <w:rtl w:val="true"/>
        </w:rPr>
        <w:t xml:space="preserve">', </w:t>
      </w:r>
      <w:r>
        <w:rPr>
          <w:rFonts w:ascii="Calibri" w:hAnsi="Calibri" w:cs="Calibri"/>
          <w:b/>
          <w:b/>
          <w:bCs/>
          <w:rtl w:val="true"/>
        </w:rPr>
        <w:t>וממילא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הבהיר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מונח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המונחים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cs="Calibri" w:ascii="Calibri" w:hAnsi="Calibri"/>
          <w:b/>
          <w:bCs/>
          <w:rtl w:val="true"/>
        </w:rPr>
        <w:t xml:space="preserve">', </w:t>
      </w:r>
      <w:r>
        <w:rPr>
          <w:rFonts w:ascii="Calibri" w:hAnsi="Calibri" w:cs="Calibri"/>
          <w:b/>
          <w:b/>
          <w:bCs/>
          <w:rtl w:val="true"/>
        </w:rPr>
        <w:t>האמורים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ascii="Calibri" w:hAnsi="Calibri" w:cs="Calibri"/>
          <w:b/>
          <w:b/>
          <w:bCs/>
          <w:rtl w:val="true"/>
        </w:rPr>
        <w:t>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ראו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4910/13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29.10.2014</w:t>
      </w:r>
      <w:r>
        <w:rPr>
          <w:rFonts w:cs="Calibri" w:ascii="Calibri" w:hAnsi="Calibri"/>
          <w:b/>
          <w:bCs/>
          <w:rtl w:val="true"/>
        </w:rPr>
        <w:t xml:space="preserve">);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לפסק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דנציגר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להלן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cs="Calibri" w:ascii="Calibri" w:hAnsi="Calibri"/>
          <w:b/>
          <w:bCs/>
          <w:rtl w:val="true"/>
        </w:rPr>
        <w:t>))."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ההדוק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b/>
          <w:bCs/>
          <w:rtl w:val="true"/>
        </w:rPr>
        <w:t xml:space="preserve">. .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ביניהן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זמנים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תהיינה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תוכנית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בוצעו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קצרה</w:t>
      </w:r>
      <w:r>
        <w:rPr>
          <w:rFonts w:cs="Calibri" w:ascii="Calibri" w:hAnsi="Calibri"/>
          <w:rtl w:val="true"/>
        </w:rPr>
        <w:t>" (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29.10.14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1261/15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דלאל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3.9.15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מאופיין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בתכנון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להצביע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שיטתיות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התרחשו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לאפשר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ההימלטות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וכיוצא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עובדתיות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9821/16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30.11.17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נסווג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יוגבל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מעשה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חסד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8686/15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גריבוב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3.10.17</w:t>
      </w:r>
      <w:r>
        <w:rPr>
          <w:rFonts w:cs="Calibri" w:ascii="Calibri" w:hAnsi="Calibri"/>
          <w:rtl w:val="true"/>
        </w:rPr>
        <w:t>))</w:t>
      </w:r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במילים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אחרות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מעשים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מסווגים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וחומרתם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1082/14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סאר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23.7.2015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צוין כי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הלכה היא כי גם כאשר כמה מעשים נחשבים כחלק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אירוע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אחד הרי שבקביעת מתחם הענישה יש תמיד להביא בחשבון את מספרם וחומרתם של המעשים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 שמתחם הענישה בגין האירוע יכול לעלות אף על עונש המקסימום בגין מעשה אחד</w:t>
      </w:r>
      <w:r>
        <w:rPr>
          <w:rFonts w:cs="Arial" w:ascii="Arial" w:hAnsi="Arial"/>
          <w:b/>
          <w:bCs/>
          <w:rtl w:val="true"/>
        </w:rPr>
        <w:t xml:space="preserve">".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  <w:b/>
        </w:rPr>
      </w:pPr>
      <w:r>
        <w:rPr>
          <w:rFonts w:ascii="Arial" w:hAnsi="Arial" w:cs="Arial"/>
          <w:rtl w:val="true"/>
        </w:rPr>
        <w:t>לגופו של 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סבורני כי כל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המצוין בכל אחד מהאישומים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אירוע 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איני סבור שניתן לקבוע כי 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קשר הדוק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בין המעשים עד כי הם מהווים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אירוע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לגבי שני מעשי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בשני אירועים נפרדים אשר בוצעו בהפרש של למעלה מחודש האחד מהשני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שותפו של הנאשם בכל אחד מהם היה 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לגבי עבירות הנשק המתוארות 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במעשים שנעשו ללא קשר ישיר למעשי השוד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תת מקלע העוזי כלל לא שימש במקרי השוד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</w:rPr>
      </w:pPr>
      <w:r>
        <w:rPr>
          <w:rFonts w:ascii="Arial" w:hAnsi="Arial" w:cs="Arial"/>
          <w:rtl w:val="true"/>
        </w:rPr>
        <w:t>אפנה למספר דוגמאות בפסיקה התומכות במסקנתי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בהן נקבע כי מספר מעשי שוד מהווים מספר אירועים בנסיבות דומות לענייננו </w:t>
      </w:r>
      <w:r>
        <w:rPr>
          <w:rFonts w:cs="Arial" w:ascii="Arial" w:hAnsi="Arial"/>
          <w:rtl w:val="true"/>
        </w:rPr>
        <w:t xml:space="preserve">- </w:t>
      </w:r>
      <w:hyperlink r:id="rId35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2420/15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אבטליון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b/>
          <w:b/>
          <w:rtl w:val="true"/>
        </w:rPr>
        <w:t xml:space="preserve"> </w:t>
      </w:r>
      <w:r>
        <w:rPr>
          <w:rFonts w:cs="Arial" w:ascii="Arial" w:hAnsi="Arial"/>
          <w:b/>
          <w:rtl w:val="true"/>
        </w:rPr>
        <w:t>(</w:t>
      </w:r>
      <w:r>
        <w:rPr>
          <w:rFonts w:cs="Arial" w:ascii="Arial" w:hAnsi="Arial"/>
          <w:b/>
        </w:rPr>
        <w:t>29.11.15</w:t>
      </w:r>
      <w:r>
        <w:rPr>
          <w:rFonts w:cs="Arial" w:ascii="Arial" w:hAnsi="Arial"/>
          <w:b/>
          <w:rtl w:val="true"/>
        </w:rPr>
        <w:t xml:space="preserve">) - </w:t>
      </w:r>
      <w:r>
        <w:rPr>
          <w:rFonts w:ascii="Arial" w:hAnsi="Arial" w:cs="Arial"/>
          <w:b/>
          <w:b/>
          <w:rtl w:val="true"/>
        </w:rPr>
        <w:t>שוד וניסיון שוד בהפרש של מספר שעות</w:t>
      </w:r>
      <w:r>
        <w:rPr>
          <w:rFonts w:cs="Arial" w:ascii="Arial" w:hAnsi="Arial"/>
          <w:b/>
          <w:rtl w:val="true"/>
        </w:rPr>
        <w:t>;</w:t>
      </w:r>
      <w:r>
        <w:rPr>
          <w:rFonts w:cs="Calibri" w:ascii="Calibri" w:hAnsi="Calibri"/>
          <w:b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color w:val="0000FF"/>
            <w:u w:val="single"/>
          </w:rPr>
          <w:t>3079/16</w:t>
        </w:r>
      </w:hyperlink>
      <w:r>
        <w:rPr>
          <w:rFonts w:cs="Calibri" w:ascii="Calibri" w:hAnsi="Calibri"/>
          <w:b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cs="Calibri" w:ascii="Calibri" w:hAnsi="Calibri"/>
          <w:b/>
          <w:rtl w:val="true"/>
        </w:rPr>
        <w:t>(</w:t>
      </w:r>
      <w:r>
        <w:rPr>
          <w:rFonts w:cs="Calibri" w:ascii="Calibri" w:hAnsi="Calibri"/>
          <w:b/>
        </w:rPr>
        <w:t>27.12.16</w:t>
      </w:r>
      <w:r>
        <w:rPr>
          <w:rFonts w:cs="Calibri" w:ascii="Calibri" w:hAnsi="Calibri"/>
          <w:b/>
          <w:rtl w:val="true"/>
        </w:rPr>
        <w:t xml:space="preserve">) - </w:t>
      </w:r>
      <w:r>
        <w:rPr>
          <w:rFonts w:ascii="Calibri" w:hAnsi="Calibri" w:cs="Calibri"/>
          <w:b/>
          <w:b/>
          <w:rtl w:val="true"/>
        </w:rPr>
        <w:t>שני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מקרי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שוד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בהפרש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כשבוע</w:t>
      </w:r>
      <w:r>
        <w:rPr>
          <w:rFonts w:cs="Calibri" w:ascii="Calibri" w:hAnsi="Calibri"/>
          <w:b/>
          <w:rtl w:val="true"/>
        </w:rPr>
        <w:t xml:space="preserve">; </w:t>
      </w:r>
      <w:hyperlink r:id="rId37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. 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 xml:space="preserve">) 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30287-08-13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עוזיאל</w:t>
      </w:r>
      <w:r>
        <w:rPr>
          <w:rFonts w:ascii="Arial" w:hAnsi="Arial" w:cs="Arial"/>
          <w:b/>
          <w:b/>
          <w:rtl w:val="true"/>
        </w:rPr>
        <w:t xml:space="preserve"> </w:t>
      </w:r>
      <w:r>
        <w:rPr>
          <w:rFonts w:cs="Arial" w:ascii="Arial" w:hAnsi="Arial"/>
          <w:b/>
          <w:rtl w:val="true"/>
        </w:rPr>
        <w:t>(</w:t>
      </w:r>
      <w:r>
        <w:rPr>
          <w:rFonts w:cs="Arial" w:ascii="Arial" w:hAnsi="Arial"/>
          <w:b/>
        </w:rPr>
        <w:t>11.1.15</w:t>
      </w:r>
      <w:r>
        <w:rPr>
          <w:rFonts w:cs="Arial" w:ascii="Arial" w:hAnsi="Arial"/>
          <w:b/>
          <w:rtl w:val="true"/>
        </w:rPr>
        <w:t xml:space="preserve">) - </w:t>
      </w:r>
      <w:r>
        <w:rPr>
          <w:rFonts w:ascii="Arial" w:hAnsi="Arial" w:cs="Arial"/>
          <w:b/>
          <w:b/>
          <w:rtl w:val="true"/>
        </w:rPr>
        <w:t>מספר מקרי שוד על פני תקופה של חודשים</w:t>
      </w:r>
      <w:r>
        <w:rPr>
          <w:rFonts w:cs="Calibri" w:ascii="Calibri" w:hAnsi="Calibri"/>
          <w:b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  <w:b/>
        </w:rPr>
      </w:pPr>
      <w:r>
        <w:rPr>
          <w:rFonts w:cs="Calibri" w:ascii="Calibri" w:hAnsi="Calibri"/>
          <w:b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b/>
          <w:b/>
          <w:rtl w:val="true"/>
        </w:rPr>
        <w:t>וחרף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החלטתי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לעיל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שהינה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כפי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שצוין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לעיל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עיונית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בעיקרה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Calibri" w:hAnsi="Calibri" w:cs="Calibri"/>
          <w:b/>
          <w:b/>
          <w:rtl w:val="true"/>
        </w:rPr>
        <w:t>מטעמים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שיובהרו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להלן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העונש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שייגזר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הנאשם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יהיה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Arial" w:hAnsi="Arial" w:cs="Arial"/>
          <w:rtl w:val="true"/>
        </w:rPr>
        <w:t>עונש כולל ואחד בנוגע לכלל האירועים ובהתאם לס</w:t>
      </w:r>
      <w:r>
        <w:rPr>
          <w:rFonts w:cs="Arial" w:ascii="Arial" w:hAnsi="Arial"/>
          <w:rtl w:val="true"/>
        </w:rPr>
        <w:t xml:space="preserve">' </w:t>
      </w:r>
      <w:hyperlink r:id="rId38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אובייקטיבי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4088/13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11.6.13</w:t>
      </w:r>
      <w:r>
        <w:rPr>
          <w:rFonts w:cs="Calibri" w:ascii="Calibri" w:hAnsi="Calibri"/>
          <w:rtl w:val="true"/>
        </w:rPr>
        <w:t xml:space="preserve">);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)).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חירותם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1127/13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גברזגיי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15.1.14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כבודם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חירותם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ורכושם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המתלוננים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קורבנות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וביטחונו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יכולתו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הממשית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ולהלך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ברחובות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חשש</w:t>
      </w:r>
      <w:r>
        <w:rPr>
          <w:rFonts w:cs="Calibri" w:ascii="Calibri" w:hAnsi="Calibri"/>
          <w:b/>
          <w:bCs/>
          <w:rtl w:val="true"/>
        </w:rPr>
        <w:t xml:space="preserve">".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);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10.8.06</w:t>
      </w:r>
      <w:r>
        <w:rPr>
          <w:rFonts w:cs="Calibri" w:ascii="Calibri" w:hAnsi="Calibri"/>
          <w:rtl w:val="true"/>
        </w:rPr>
        <w:t xml:space="preserve">);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28.3.16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29.6.14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להרחיב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הגלומה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הולמת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מעבר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להיבט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הכספי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והכלכלי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הפיזיות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לפגיעות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הנפשיות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הנגרמות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לקורבנות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ובביטחונו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בכללותו</w:t>
      </w:r>
      <w:r>
        <w:rPr>
          <w:rFonts w:cs="Calibri" w:ascii="Calibri" w:hAnsi="Calibri"/>
          <w:b/>
          <w:bCs/>
          <w:rtl w:val="true"/>
        </w:rPr>
        <w:t>" (</w:t>
      </w:r>
      <w:hyperlink r:id="rId4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588/13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13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cs="Calibri" w:ascii="Calibri" w:hAnsi="Calibri"/>
          <w:b/>
          <w:bCs/>
        </w:rPr>
        <w:t>27.8.2013</w:t>
      </w:r>
      <w:r>
        <w:rPr>
          <w:rFonts w:cs="Calibri" w:ascii="Calibri" w:hAnsi="Calibri"/>
          <w:b/>
          <w:bCs/>
          <w:rtl w:val="true"/>
        </w:rPr>
        <w:t xml:space="preserve">); </w:t>
      </w:r>
      <w:hyperlink r:id="rId47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5617/13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ט</w:t>
      </w:r>
      <w:r>
        <w:rPr>
          <w:rFonts w:cs="Calibri" w:ascii="Calibri" w:hAnsi="Calibri"/>
          <w:b/>
          <w:bCs/>
          <w:rtl w:val="true"/>
        </w:rPr>
        <w:t>' (</w:t>
      </w:r>
      <w:r>
        <w:rPr>
          <w:rFonts w:cs="Calibri" w:ascii="Calibri" w:hAnsi="Calibri"/>
          <w:b/>
          <w:bCs/>
        </w:rPr>
        <w:t>27.5.2014</w:t>
      </w:r>
      <w:r>
        <w:rPr>
          <w:rFonts w:cs="Calibri" w:ascii="Calibri" w:hAnsi="Calibri"/>
          <w:b/>
          <w:bCs/>
          <w:rtl w:val="true"/>
        </w:rPr>
        <w:t xml:space="preserve">))". </w:t>
      </w:r>
      <w:r>
        <w:rPr>
          <w:rFonts w:ascii="Calibri" w:hAnsi="Calibri" w:cs="Calibri"/>
          <w:b/>
          <w:b/>
          <w:bCs/>
          <w:rtl w:val="true"/>
        </w:rPr>
        <w:t>יחד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רחבה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אפשריים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הנבדלים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ובמדרג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הנוהגת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תלויים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אפוא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הקונקרטיות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וחומרתו</w:t>
      </w:r>
      <w:r>
        <w:rPr>
          <w:rFonts w:cs="Calibri" w:ascii="Calibri" w:hAnsi="Calibri"/>
          <w:b/>
          <w:bCs/>
          <w:rtl w:val="true"/>
        </w:rPr>
        <w:t>. . ."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898/11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אקרע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2.2.11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דומות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>..."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/>
      </w:pP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משוד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פתק</w:t>
      </w:r>
      <w:r>
        <w:rPr>
          <w:rtl w:val="true"/>
        </w:rPr>
        <w:t xml:space="preserve">"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1312/16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6.11.16</w:t>
      </w:r>
      <w:r>
        <w:rPr>
          <w:rtl w:val="true"/>
        </w:rPr>
        <w:t xml:space="preserve">).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התבררה</w:t>
      </w:r>
      <w:r>
        <w:rPr>
          <w:rtl w:val="true"/>
        </w:rPr>
        <w:t xml:space="preserve">,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מהמתואר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)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:"</w:t>
      </w:r>
      <w:r>
        <w:rPr>
          <w:b/>
          <w:bCs/>
          <w:rtl w:val="true"/>
        </w:rPr>
        <w:t xml:space="preserve"> 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כשלעצמה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ועובדים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. </w:t>
      </w:r>
      <w:r>
        <w:rPr>
          <w:b/>
          <w:b/>
          <w:bCs/>
          <w:rtl w:val="true"/>
        </w:rPr>
        <w:t>למעשים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וההצטיידות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מרתיעים</w:t>
      </w:r>
      <w:r>
        <w:rPr>
          <w:rtl w:val="true"/>
        </w:rPr>
        <w:t xml:space="preserve">".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הוחמרו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2.6.14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5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הבשיל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ספונטני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9.3.17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)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 . .</w:t>
      </w:r>
      <w:r>
        <w:rPr>
          <w:rtl w:val="true"/>
        </w:rPr>
        <w:t>"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העוזי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אלואליאה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>" (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)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)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:"</w:t>
      </w:r>
      <w:r>
        <w:rPr>
          <w:b/>
          <w:bCs/>
          <w:rtl w:val="true"/>
        </w:rPr>
        <w:t xml:space="preserve">. .  </w:t>
      </w:r>
      <w:r>
        <w:rPr>
          <w:b/>
          <w:b/>
          <w:bCs/>
          <w:rtl w:val="true"/>
        </w:rPr>
        <w:t>הצדק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ודוק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והעבירו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בגורלו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להתרחש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 .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מהדי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12.12.17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ההודייה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11.10.16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כנעאן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6.11.16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משחק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לצערנו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הרהיבו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וטיפשות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מהזירה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בערפל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כנעאן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והתארגנות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תקני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התקפיים</w:t>
      </w:r>
      <w:r>
        <w:rPr>
          <w:rFonts w:cs="Calibri" w:ascii="Calibri" w:hAnsi="Calibri"/>
          <w:rtl w:val="true"/>
        </w:rPr>
        <w:t xml:space="preserve">";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משחק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מוסטפא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הקבועים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</w:t>
      </w:r>
      <w:r>
        <w:rPr>
          <w:rFonts w:cs="Calibri" w:ascii="Calibri" w:hAnsi="Calibri"/>
          <w:rtl w:val="true"/>
        </w:rPr>
        <w:t xml:space="preserve">' </w:t>
      </w:r>
      <w:hyperlink r:id="rId56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שרובן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התבררו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ומניעיו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לריגושים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כנעאן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כנעאן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overflowPunct w:val="false"/>
        <w:autoSpaceDE w:val="false"/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אינדיבידואלית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חישוב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5833/12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12.9.13</w:t>
      </w:r>
      <w:r>
        <w:rPr>
          <w:rFonts w:cs="Calibri" w:ascii="Calibri" w:hAnsi="Calibri"/>
          <w:rtl w:val="true"/>
        </w:rPr>
        <w:t>):"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במלאכת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מחשבת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במלאכת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מחשבון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צ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1892/14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האגודה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לזכויות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האזרח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השר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לביטחון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13.6.17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קכו</w:t>
      </w:r>
      <w:r>
        <w:rPr>
          <w:rFonts w:cs="Calibri" w:ascii="Calibri" w:hAnsi="Calibri"/>
          <w:rtl w:val="true"/>
        </w:rPr>
        <w:t>').</w:t>
      </w:r>
    </w:p>
    <w:p>
      <w:pPr>
        <w:pStyle w:val="Normal"/>
        <w:overflowPunct w:val="false"/>
        <w:autoSpaceDE w:val="false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3/96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קסם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2420/15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אבטליון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29.11.15</w:t>
      </w:r>
      <w:r>
        <w:rPr>
          <w:rFonts w:cs="Calibri" w:ascii="Calibri" w:hAnsi="Calibri"/>
          <w:rtl w:val="true"/>
        </w:rPr>
        <w:t xml:space="preserve">)),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ריגוש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ובחירותיו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עודפת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הממלאת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מדי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והרחוקה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דורנר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בעבריינים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והמובאות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ולסובביו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יתווספו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סוף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הבאים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0"/>
        <w:ind w:start="662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662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6.3.17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66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66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66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66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סרחאן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נידא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מנאל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1.2.18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מובהר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662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62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1901-04-17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 רחמן אבו אל היג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cs="Times New Roman"/>
      </w:rPr>
    </w:lvl>
  </w:abstractNum>
  <w:abstractNum w:abstractNumId="3">
    <w:lvl w:ilvl="0">
      <w:start w:val="24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sz w:val="28"/>
      <w:szCs w:val="28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  <w:sz w:val="28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ascii="Symbol" w:hAnsi="Symbol" w:eastAsia="Times New Roman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Symbol" w:hAnsi="Symbol" w:eastAsia="Times New Roman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jc w:val="end"/>
      <w:textAlignment w:val="baseline"/>
    </w:pPr>
    <w:rPr>
      <w:bCs/>
      <w:sz w:val="20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3">
    <w:name w:val="Ruller 3"/>
    <w:basedOn w:val="Normal"/>
    <w:qFormat/>
    <w:pPr>
      <w:overflowPunct w:val="false"/>
      <w:autoSpaceDE w:val="false"/>
      <w:spacing w:lineRule="auto" w:line="360"/>
      <w:textAlignment w:val="baseline"/>
    </w:pPr>
    <w:rPr>
      <w:rFonts w:cs="FrankRuehl"/>
      <w:spacing w:val="10"/>
      <w:sz w:val="22"/>
      <w:szCs w:val="28"/>
    </w:rPr>
  </w:style>
  <w:style w:type="paragraph" w:styleId="DocumentHead">
    <w:name w:val="Document Head"/>
    <w:basedOn w:val="Normal"/>
    <w:qFormat/>
    <w:pPr>
      <w:overflowPunct w:val="false"/>
      <w:autoSpaceDE w:val="false"/>
      <w:spacing w:lineRule="auto" w:line="360"/>
      <w:jc w:val="center"/>
      <w:textAlignment w:val="baseline"/>
    </w:pPr>
    <w:rPr>
      <w:bCs/>
      <w:spacing w:val="30"/>
      <w:sz w:val="20"/>
      <w:szCs w:val="28"/>
      <w:u w:val="single"/>
    </w:rPr>
  </w:style>
  <w:style w:type="paragraph" w:styleId="BodyRuller">
    <w:name w:val="Body Ruller"/>
    <w:basedOn w:val="Normal"/>
    <w:qFormat/>
    <w:pPr>
      <w:overflowPunct w:val="false"/>
      <w:autoSpaceDE w:val="false"/>
      <w:textAlignment w:val="baseline"/>
    </w:pPr>
    <w:rPr>
      <w:sz w:val="22"/>
      <w:szCs w:val="28"/>
    </w:rPr>
  </w:style>
  <w:style w:type="paragraph" w:styleId="Ruller38">
    <w:name w:val="סגנון Ruller 3 + (מורכב) ‏8 נק"/>
    <w:basedOn w:val="BodyRuller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>
      <w:overflowPunct w:val="false"/>
      <w:autoSpaceDE w:val="false"/>
      <w:textAlignment w:val="baseline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2.a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0jc.b" TargetMode="External"/><Relationship Id="rId9" Type="http://schemas.openxmlformats.org/officeDocument/2006/relationships/hyperlink" Target="http://www.nevo.co.il/law/70301/413b.a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86" TargetMode="External"/><Relationship Id="rId12" Type="http://schemas.openxmlformats.org/officeDocument/2006/relationships/hyperlink" Target="http://www.nevo.co.il/law/74903/40ja" TargetMode="External"/><Relationship Id="rId13" Type="http://schemas.openxmlformats.org/officeDocument/2006/relationships/hyperlink" Target="http://www.nevo.co.il/law/74903/40jc.b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13b.a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402.a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c.b" TargetMode="External"/><Relationship Id="rId27" Type="http://schemas.openxmlformats.org/officeDocument/2006/relationships/hyperlink" Target="http://www.nevo.co.il/case/7958246" TargetMode="External"/><Relationship Id="rId28" Type="http://schemas.openxmlformats.org/officeDocument/2006/relationships/hyperlink" Target="http://www.nevo.co.il/case/13093721" TargetMode="External"/><Relationship Id="rId29" Type="http://schemas.openxmlformats.org/officeDocument/2006/relationships/hyperlink" Target="http://www.nevo.co.il/case/20033641" TargetMode="External"/><Relationship Id="rId30" Type="http://schemas.openxmlformats.org/officeDocument/2006/relationships/hyperlink" Target="http://www.nevo.co.il/case/23506710" TargetMode="External"/><Relationship Id="rId31" Type="http://schemas.openxmlformats.org/officeDocument/2006/relationships/hyperlink" Target="http://www.nevo.co.il/law/74903/186" TargetMode="External"/><Relationship Id="rId32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case/20798648" TargetMode="External"/><Relationship Id="rId34" Type="http://schemas.openxmlformats.org/officeDocument/2006/relationships/hyperlink" Target="http://www.nevo.co.il/case/11303307" TargetMode="External"/><Relationship Id="rId35" Type="http://schemas.openxmlformats.org/officeDocument/2006/relationships/hyperlink" Target="http://www.nevo.co.il/case/20157961" TargetMode="External"/><Relationship Id="rId36" Type="http://schemas.openxmlformats.org/officeDocument/2006/relationships/hyperlink" Target="http://www.nevo.co.il/case/21473207" TargetMode="External"/><Relationship Id="rId37" Type="http://schemas.openxmlformats.org/officeDocument/2006/relationships/hyperlink" Target="http://www.nevo.co.il/case/7960553" TargetMode="External"/><Relationship Id="rId38" Type="http://schemas.openxmlformats.org/officeDocument/2006/relationships/hyperlink" Target="http://www.nevo.co.il/law/74903/40jc.b" TargetMode="External"/><Relationship Id="rId39" Type="http://schemas.openxmlformats.org/officeDocument/2006/relationships/hyperlink" Target="http://www.nevo.co.il/case/7667123" TargetMode="External"/><Relationship Id="rId40" Type="http://schemas.openxmlformats.org/officeDocument/2006/relationships/hyperlink" Target="http://www.nevo.co.il/case/6473037" TargetMode="External"/><Relationship Id="rId41" Type="http://schemas.openxmlformats.org/officeDocument/2006/relationships/hyperlink" Target="http://www.nevo.co.il/case/6018516" TargetMode="External"/><Relationship Id="rId42" Type="http://schemas.openxmlformats.org/officeDocument/2006/relationships/hyperlink" Target="http://www.nevo.co.il/case/7791493" TargetMode="External"/><Relationship Id="rId43" Type="http://schemas.openxmlformats.org/officeDocument/2006/relationships/hyperlink" Target="http://www.nevo.co.il/case/5887664" TargetMode="External"/><Relationship Id="rId44" Type="http://schemas.openxmlformats.org/officeDocument/2006/relationships/hyperlink" Target="http://www.nevo.co.il/case/20775010" TargetMode="External"/><Relationship Id="rId45" Type="http://schemas.openxmlformats.org/officeDocument/2006/relationships/hyperlink" Target="http://www.nevo.co.il/case/5172599" TargetMode="External"/><Relationship Id="rId46" Type="http://schemas.openxmlformats.org/officeDocument/2006/relationships/hyperlink" Target="http://www.nevo.co.il/case/5569378" TargetMode="External"/><Relationship Id="rId47" Type="http://schemas.openxmlformats.org/officeDocument/2006/relationships/hyperlink" Target="http://www.nevo.co.il/case/7948442" TargetMode="External"/><Relationship Id="rId48" Type="http://schemas.openxmlformats.org/officeDocument/2006/relationships/hyperlink" Target="http://www.nevo.co.il/case/5733731" TargetMode="External"/><Relationship Id="rId49" Type="http://schemas.openxmlformats.org/officeDocument/2006/relationships/hyperlink" Target="http://www.nevo.co.il/case/21472799" TargetMode="External"/><Relationship Id="rId50" Type="http://schemas.openxmlformats.org/officeDocument/2006/relationships/hyperlink" Target="http://www.nevo.co.il/case/12354253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1664419" TargetMode="External"/><Relationship Id="rId53" Type="http://schemas.openxmlformats.org/officeDocument/2006/relationships/hyperlink" Target="http://www.nevo.co.il/case/21771409" TargetMode="External"/><Relationship Id="rId54" Type="http://schemas.openxmlformats.org/officeDocument/2006/relationships/hyperlink" Target="http://www.nevo.co.il/case/22006503" TargetMode="External"/><Relationship Id="rId55" Type="http://schemas.openxmlformats.org/officeDocument/2006/relationships/hyperlink" Target="http://www.nevo.co.il/case/21946424" TargetMode="External"/><Relationship Id="rId56" Type="http://schemas.openxmlformats.org/officeDocument/2006/relationships/hyperlink" Target="http://www.nevo.co.il/law/74903/40ja" TargetMode="External"/><Relationship Id="rId57" Type="http://schemas.openxmlformats.org/officeDocument/2006/relationships/hyperlink" Target="http://www.nevo.co.il/case/5591978" TargetMode="External"/><Relationship Id="rId58" Type="http://schemas.openxmlformats.org/officeDocument/2006/relationships/hyperlink" Target="http://www.nevo.co.il/case/13055183" TargetMode="External"/><Relationship Id="rId59" Type="http://schemas.openxmlformats.org/officeDocument/2006/relationships/hyperlink" Target="http://www.nevo.co.il/case/20157961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2018-05-08T13:23:00Z</dcterms:created>
  <dc:creator> </dc:creator>
  <dc:description/>
  <cp:keywords/>
  <dc:language>en-IL</dc:language>
  <cp:lastModifiedBy>run</cp:lastModifiedBy>
  <dcterms:modified xsi:type="dcterms:W3CDTF">2018-05-08T13:23:00Z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רחמן אבו אל היג'א</vt:lpwstr>
  </property>
  <property fmtid="{D5CDD505-2E9C-101B-9397-08002B2CF9AE}" pid="4" name="CASENOTES1">
    <vt:lpwstr>ProcID=155&amp;PartA=1882&amp;PartB=04&amp;PartC=17</vt:lpwstr>
  </property>
  <property fmtid="{D5CDD505-2E9C-101B-9397-08002B2CF9AE}" pid="5" name="CASESLISTTMP1">
    <vt:lpwstr>7958246;13093721;20033641;23506710;20798648;11303307;20157961:2;21473207;7960553;7667123;6473037;6018516;7791493;5887664;20775010;5172599;5569378;7948442;5733731;21472799;12354253;21664419;21771409;22006503;21946424;5591978;13055183</vt:lpwstr>
  </property>
  <property fmtid="{D5CDD505-2E9C-101B-9397-08002B2CF9AE}" pid="6" name="CITY">
    <vt:lpwstr>חי'</vt:lpwstr>
  </property>
  <property fmtid="{D5CDD505-2E9C-101B-9397-08002B2CF9AE}" pid="7" name="DATE">
    <vt:lpwstr>20171220</vt:lpwstr>
  </property>
  <property fmtid="{D5CDD505-2E9C-101B-9397-08002B2CF9AE}" pid="8" name="ISABSTRACT">
    <vt:lpwstr>Y</vt:lpwstr>
  </property>
  <property fmtid="{D5CDD505-2E9C-101B-9397-08002B2CF9AE}" pid="9" name="JUDGE">
    <vt:lpwstr>יחיאל ליפשיץ</vt:lpwstr>
  </property>
  <property fmtid="{D5CDD505-2E9C-101B-9397-08002B2CF9AE}" pid="10" name="LAWLISTTMP1">
    <vt:lpwstr>70301/402.b;029:4;144.a:2;413b.a;402.a;144.b;40jc.b</vt:lpwstr>
  </property>
  <property fmtid="{D5CDD505-2E9C-101B-9397-08002B2CF9AE}" pid="11" name="LAWLISTTMP2">
    <vt:lpwstr>74903/186;40jc.b;40ja</vt:lpwstr>
  </property>
  <property fmtid="{D5CDD505-2E9C-101B-9397-08002B2CF9AE}" pid="12" name="NEWPARTA">
    <vt:lpwstr>1901</vt:lpwstr>
  </property>
  <property fmtid="{D5CDD505-2E9C-101B-9397-08002B2CF9AE}" pid="13" name="NEWPARTB">
    <vt:lpwstr>04</vt:lpwstr>
  </property>
  <property fmtid="{D5CDD505-2E9C-101B-9397-08002B2CF9AE}" pid="14" name="NEWPARTC">
    <vt:lpwstr>17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390020171220</vt:lpwstr>
  </property>
  <property fmtid="{D5CDD505-2E9C-101B-9397-08002B2CF9AE}" pid="19" name="TYPE_N_DATE">
    <vt:lpwstr>39020171220</vt:lpwstr>
  </property>
  <property fmtid="{D5CDD505-2E9C-101B-9397-08002B2CF9AE}" pid="20" name="WORDNUMPAGES">
    <vt:lpwstr>14</vt:lpwstr>
  </property>
</Properties>
</file>