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19019-10-16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אמיר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בארה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נאשף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שייך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רייס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תילאווי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אלקיעאן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שוורצב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447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tl w:val="true"/>
        </w:rPr>
        <w:t>ר</w:t>
      </w:r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ג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9"/>
        </w:numPr>
        <w:spacing w:lineRule="auto" w:line="360" w:before="0" w:after="120"/>
        <w:ind w:hanging="360" w:start="72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19019-10-16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19026-10-16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להודאותיהם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u w:val="single"/>
        </w:rPr>
      </w:pPr>
      <w:r>
        <w:rPr>
          <w:rFonts w:ascii="David" w:hAnsi="David"/>
          <w:color w:val="000000"/>
          <w:u w:val="single"/>
          <w:rtl w:val="true"/>
        </w:rPr>
        <w:t>באישום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הראשון</w:t>
      </w:r>
      <w:r>
        <w:rPr>
          <w:rFonts w:cs="David" w:ascii="David" w:hAnsi="David"/>
          <w:color w:val="000000"/>
          <w:u w:val="single"/>
          <w:rtl w:val="true"/>
        </w:rPr>
        <w:t>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תמיכה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בארגון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טרוריסטי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לפקודת מניעת טרור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</w:hyperlink>
    </w:p>
    <w:p>
      <w:pPr>
        <w:pStyle w:val="Normal"/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  <w:u w:val="single"/>
        </w:rPr>
      </w:pPr>
      <w:r>
        <w:rPr>
          <w:rFonts w:ascii="David" w:hAnsi="David"/>
          <w:color w:val="000000"/>
          <w:u w:val="single"/>
          <w:rtl w:val="true"/>
        </w:rPr>
        <w:t>באישום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השני</w:t>
      </w:r>
      <w:r>
        <w:rPr>
          <w:rFonts w:cs="David" w:ascii="David" w:hAnsi="David"/>
          <w:color w:val="000000"/>
          <w:u w:val="single"/>
          <w:rtl w:val="true"/>
        </w:rPr>
        <w:t>: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קשירת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לפשע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עוינות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כלפי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9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הסגת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גבול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לעבור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עוינות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כלפי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הציבור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447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2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הצתה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מחמירות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בצוותא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448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hyperlink r:id="rId24"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איומים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5">
        <w:r>
          <w:rPr>
            <w:rStyle w:val="Hyperlink"/>
            <w:rFonts w:cs="David" w:ascii="David" w:hAnsi="David"/>
            <w:color w:val="0000FF"/>
            <w:u w:val="single"/>
          </w:rPr>
          <w:t>192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David" w:hAnsi="David" w:cs="David"/>
          <w:color w:val="000000"/>
          <w:u w:val="single"/>
        </w:rPr>
      </w:pPr>
      <w:r>
        <w:rPr>
          <w:rFonts w:ascii="David" w:hAnsi="David"/>
          <w:color w:val="000000"/>
          <w:u w:val="single"/>
          <w:rtl w:val="true"/>
        </w:rPr>
        <w:t>באישום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השלישי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cs="David" w:ascii="David" w:hAnsi="David"/>
          <w:color w:val="000000"/>
          <w:u w:val="single"/>
          <w:rtl w:val="true"/>
        </w:rPr>
        <w:t>(</w:t>
      </w:r>
      <w:r>
        <w:rPr>
          <w:rFonts w:ascii="David" w:hAnsi="David"/>
          <w:color w:val="000000"/>
          <w:u w:val="single"/>
          <w:rtl w:val="true"/>
        </w:rPr>
        <w:t>אשר</w:t>
      </w:r>
      <w:r>
        <w:rPr>
          <w:rFonts w:ascii="David" w:hAnsi="David"/>
          <w:color w:val="000000"/>
          <w:u w:val="single"/>
          <w:rtl w:val="true"/>
        </w:rPr>
        <w:t xml:space="preserve">  </w:t>
      </w:r>
      <w:r>
        <w:rPr>
          <w:rFonts w:ascii="David" w:hAnsi="David"/>
          <w:color w:val="000000"/>
          <w:u w:val="single"/>
          <w:rtl w:val="true"/>
        </w:rPr>
        <w:t>מיוחס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לנאשם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cs="David" w:ascii="David" w:hAnsi="David"/>
          <w:color w:val="000000"/>
          <w:u w:val="single"/>
        </w:rPr>
        <w:t>3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בלבד</w:t>
      </w:r>
      <w:r>
        <w:rPr>
          <w:rFonts w:cs="David" w:ascii="David" w:hAnsi="David"/>
          <w:color w:val="000000"/>
          <w:u w:val="single"/>
          <w:rtl w:val="true"/>
        </w:rPr>
        <w:t>):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האסלאמית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דאע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קאעידה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המורדים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המרכזיים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הפועלים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יהאד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ובמקומות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במזרח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התיכון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בתפיסה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אסלאמית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קיצונית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לתפיסה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מוסלמים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בכוחנות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כופרים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הוכרז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3.9.14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כהתאחדות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28.10.15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הוכרז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טרור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אסלאם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התכנסה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טייבה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תווחיד</w:t>
      </w:r>
      <w:r>
        <w:rPr>
          <w:rFonts w:cs="David" w:ascii="David" w:hAnsi="David"/>
          <w:color w:val="000000"/>
          <w:rtl w:val="true"/>
        </w:rPr>
        <w:t>" (</w:t>
      </w:r>
      <w:r>
        <w:rPr>
          <w:rFonts w:ascii="David" w:hAnsi="David"/>
          <w:color w:val="000000"/>
          <w:rtl w:val="true"/>
        </w:rPr>
        <w:t>ייחוד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יחיד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תג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ויד</w:t>
      </w:r>
      <w:r>
        <w:rPr>
          <w:rFonts w:cs="David" w:ascii="David" w:hAnsi="David"/>
          <w:color w:val="000000"/>
          <w:rtl w:val="true"/>
        </w:rPr>
        <w:t>" (</w:t>
      </w:r>
      <w:r>
        <w:rPr>
          <w:rFonts w:ascii="David" w:hAnsi="David"/>
          <w:color w:val="000000"/>
          <w:rtl w:val="true"/>
        </w:rPr>
        <w:t>קריאה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בקוראן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שוחחו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דעא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עקרונותיו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ותפיסותיו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ממפגשי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הלימודים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("</w:t>
      </w:r>
      <w:r>
        <w:rPr>
          <w:rFonts w:ascii="David" w:hAnsi="David"/>
          <w:color w:val="000000"/>
          <w:rtl w:val="true"/>
        </w:rPr>
        <w:t>ביעה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למנהיג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דעא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בגדאדי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משתתפי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הקבוצה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11.6.19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הקורבן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המוסלמי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באצטדיון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הכדורגל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העירוני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לרווחת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והנאת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תושבי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והסביבה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המתוכננת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פרסמו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הרלוונטיים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רקע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המפורט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באישום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הראשון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ראו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בהופעה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המתוכננת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כמעשה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כפירה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האסלאם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לפיכך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התכנסו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9.9.16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ודנו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בפעולות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שונות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לסיכול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ההופעה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בסופו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הדיון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קשרו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להסתנן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לאצטדיון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ולבצע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הצתה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במסגרת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ולשם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קידומו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ביום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10.9.16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נהג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לתחנת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הדלק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ומילא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מיכל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בדלק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בהמשך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חזר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לביתו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ופגש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הצטיידו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בארבעה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בקבוקים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ריקים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מצתים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וצינור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ונסעו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יחד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לחורשה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הסמוכה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לאצטדיון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בחורשה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באמצעות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בעזרת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הצינור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דלק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ממיכל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הדלק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ארבעת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הבקבוקים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ואז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צעדו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לכיוון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האצטדיון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כאשר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מצוידים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בבקבוקים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ובמציתים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עם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הגעתם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לאצטדיון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בהיותם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רעולי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פנים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טיפסו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האצטדיון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והסתננו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לתוכו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תחילה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ניסו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להצית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עמוד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תאורה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הצלחה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ובהמשך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לעבר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לוח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חשמל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ועמוד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תאורה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שפך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עליהם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דלק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והציתם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באמצעות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מצית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באופן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שגרם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למוקד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ואש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גדולות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וחזקות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במקביל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ניגש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לעבר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הבמה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וכסאות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הפלסטיק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ושפך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עליהם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דלק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בהמשך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חברו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ניסה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להצית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הבמה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באמצעות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מצית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הצלחה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הבמה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באמצעות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מצית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ומי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הכיסאות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באמצעות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מצית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באופן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שגרם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לשני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מוקדי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גדולות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וחזקות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אז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טיפס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האצטדיון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ואילו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ניסו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להצית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עמוד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חשמל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נוסף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ללא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הצלחה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בהמשך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חברו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ועזבו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החורשה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יחדיו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ברכב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כתוצאה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מהמתואר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500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כיסאות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פלסטיק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רכיבים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שונים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בבמה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ארון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החשמל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עמוד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תאורה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חלק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מהדשא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ונגרמו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נזקים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כספיים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המוערכים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78,000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Cs/>
          <w:color w:val="000000"/>
          <w:rtl w:val="true"/>
        </w:rPr>
        <w:t>₪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חרף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העירייה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הרלוונטיים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נחושים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במועדה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הושקעו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משאבים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צלחו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11.9.16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כמתוכנן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בנוכחות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משתתפים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בניסיון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ההופעה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התקשר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בשעה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20:21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באמצעות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טלפון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נייד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בשימושו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למוקד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חירום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משטרת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ואמר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למוקדנית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 </w:t>
      </w:r>
      <w:r>
        <w:rPr>
          <w:rFonts w:ascii="David" w:hAnsi="David"/>
          <w:b/>
          <w:b/>
          <w:bCs/>
          <w:color w:val="000000"/>
          <w:rtl w:val="true"/>
        </w:rPr>
        <w:t>מקשיבה</w:t>
      </w:r>
      <w:r>
        <w:rPr>
          <w:rFonts w:cs="David" w:ascii="David" w:hAnsi="David"/>
          <w:b/>
          <w:bCs/>
          <w:color w:val="000000"/>
          <w:rtl w:val="true"/>
        </w:rPr>
        <w:t xml:space="preserve">? </w:t>
      </w:r>
      <w:r>
        <w:rPr>
          <w:rFonts w:ascii="David" w:hAnsi="David"/>
          <w:b/>
          <w:b/>
          <w:bCs/>
          <w:color w:val="000000"/>
          <w:rtl w:val="true"/>
        </w:rPr>
        <w:t>תשיבי</w:t>
      </w:r>
      <w:r>
        <w:rPr>
          <w:rFonts w:cs="David" w:ascii="David" w:hAnsi="David"/>
          <w:b/>
          <w:bCs/>
          <w:color w:val="000000"/>
          <w:rtl w:val="true"/>
        </w:rPr>
        <w:t xml:space="preserve">! </w:t>
      </w:r>
      <w:r>
        <w:rPr>
          <w:rFonts w:ascii="David" w:hAnsi="David"/>
          <w:b/>
          <w:b/>
          <w:bCs/>
          <w:color w:val="000000"/>
          <w:rtl w:val="true"/>
        </w:rPr>
        <w:t>הטמנו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מטען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חבלה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במגרש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בטייבה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תפנו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האנשים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משם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דקות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לפני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שזה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מתפוצץ</w:t>
      </w:r>
      <w:r>
        <w:rPr>
          <w:rFonts w:cs="David" w:ascii="David" w:hAnsi="David"/>
          <w:b/>
          <w:bCs/>
          <w:color w:val="000000"/>
          <w:rtl w:val="true"/>
        </w:rPr>
        <w:t>".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ההופעה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כמתוכנן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אוקטובר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הצטייד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בצינור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בקוטר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צול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אבק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שריפה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ופתיל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דליק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לצורך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הכנת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מטען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צינור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נפיץ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בהמשך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לכך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מילא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הצינור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באבק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שריפה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אטם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הצינור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משני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צדדיו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קדח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באמצעות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מקדחה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באמצע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הצינור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והשחיל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לתוכו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הפתיל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הדליק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המטען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לשטח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בטייבה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הצית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הפתיל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באמצעות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מצית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התרחק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בריצה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מהמקום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והמטען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התפוצץ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בהצלחה</w:t>
      </w:r>
      <w:r>
        <w:rPr>
          <w:rFonts w:cs="David" w:ascii="David" w:hAnsi="David"/>
          <w:color w:val="000000"/>
          <w:rtl w:val="true"/>
        </w:rPr>
        <w:t xml:space="preserve">.      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נשלחו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הוסכם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נפרד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רווק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משוודיה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תינוק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השכלה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להצטרף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לגדודים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לוחמים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לטורקיה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מוצאו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אידיאולוגיה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פוליטית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הקוראן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העשרה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מלצרוך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למעורבותו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בלימודי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האסלאם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בטייבה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בכפו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חקירות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נגדו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וורבליות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וקוגניטיביות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לצרכיו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במשפחת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המוצא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להרחיב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קיצונית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המונעת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מאידיאולוגיה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פוליטית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חשיפתו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והעמקת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השתייכותו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הפוליטית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ובפלילים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באורחות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מגמתי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ללימודי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הנדסאות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הלימודיים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בפרנסת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בסביבה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שאופיינה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סוציו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אקונומי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התמודדה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הישרדותיים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פרנסה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במשפחת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למורכבות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וקונפליקטים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שותפיו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בחודשיים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שקדמו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וסקרנות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בתפיסת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דאע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סרטונים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האינטרנט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התחבר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מפגשי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להתפלל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ובמקביל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השתייך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לעמותה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התנגדה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לשלטון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בטייבה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לגיטימיות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הדגיש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בכוונתו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סקרנותו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שבמצבו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היגררות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שותפיו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אסרטיביות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להפסיק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ההתנהלות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והפוגענית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והמחירים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ששילם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למעורבותו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החוזרת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בפלילים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ובהתנהלות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ממסדית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מגובש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דימוי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אימפולסיביים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ואנטיסוציאליים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חיפש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השתייכות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התחזקו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ממסדיות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לגיטימציה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ואלימות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בהתבוננות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ולקיחת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כשניכרת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להשלכת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חיצוניים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תפיסתו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כקורבן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בסביבתו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הכוחנות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אמפטית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תפקודו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וקיומה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תומכת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המורכבות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חולשתם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סמכויות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וגבולות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פוגעני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המניעים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לבחירותיו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נטייתו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חיצונים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מבדיקת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הפרמטרים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באלימות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צפויה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קונקרטית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ותסמן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הפסול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בהתנהגותו</w:t>
      </w:r>
      <w:r>
        <w:rPr>
          <w:rFonts w:cs="David" w:ascii="David" w:hAnsi="David"/>
          <w:color w:val="000000"/>
          <w:rtl w:val="true"/>
        </w:rPr>
        <w:t xml:space="preserve">.         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מטעמו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מכתבו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שועאע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מנסור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מסארווה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עיריית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בשבחו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התנצלותם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העירייה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כילד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הליכות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כמחנך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האזרחות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הדמוקרטיה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מתנדב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בפעילויות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חינוך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וקידום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וערכי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הדמוקרטיה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סוזאן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בארה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תיארה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שוודי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נולדו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הממשלה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בשוודיה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ובכוונתם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להרחיק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מהסביבה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אברה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בתפקידו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לאזרחות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מהטעויות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בשוודיה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שוודית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וייתכן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שקיומן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- </w:t>
      </w:r>
      <w:r>
        <w:rPr>
          <w:rFonts w:ascii="David" w:hAnsi="David"/>
          <w:color w:val="000000"/>
          <w:rtl w:val="true"/>
        </w:rPr>
        <w:t>מסמך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רפואי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לניסיונותיו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מטעמו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רייס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רלוונטי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דאע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מהשקפה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קיצונית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המיוחסת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והקניין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האפשרות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התפשטות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שמוצתת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אוכלוסייה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שנמצאת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בקרבת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לוחמי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וחופש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ומוקפד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מהפגישה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השלושה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בחלקו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דומיננטי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ומשפיע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הרעיון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הכוללים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78,000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לעירייה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הנלוות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חירום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ולהשמיש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לקראת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שתוכננה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הימנעות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אידיאולוגית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משלהם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מפעילויות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מסיכונים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אידיאולוגי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באוכלוסייה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להתפתח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אוכלוסייה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היווצרות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בחופש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למנוע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שנתפסה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ככפירה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תפיסת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קיצונית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האוכלוסייה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תפיסת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ואכזרית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שמזוהה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האכזרי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המוסלמים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אידאולוגי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שמקורו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ומקורו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בהזדהות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דעא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התקיימותו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סכסוך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כשלעצמה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כאקט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ציבור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לנחישות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העבריינית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העירייה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להותיר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הונח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האצטדיון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דקות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ההתמדה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העבריינית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הוגשה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וחומר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הוגשו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וכמובן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רלוונטי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מוצלח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הגוף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אפשרית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במתכוון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המוקדם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החלקים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ותפעולו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האפשרי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הצפוי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אבחנה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להבחנה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נוגעת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לשיתוף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החקירה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במיוחס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והפליל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לחקירה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בהבדל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בחקירות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ואמירות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קיצוניות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אבחנה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וויתר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שהפגין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בחקירה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ההירתמות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אופטימית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אלמנט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קיצוני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במצטבר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במצטבר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לטובת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העירייה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שיחולק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cs="David" w:ascii="David" w:hAnsi="David"/>
          <w:color w:val="000000"/>
          <w:rtl w:val="true"/>
        </w:rPr>
        <w:t xml:space="preserve">.             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תילאווי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בראשית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הדגיש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שנכתבו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אזכור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לתפיסות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דאע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השתתפו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האסלאם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כשלעצמו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לדאע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לתפיסה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הארגון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שנוגעת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לדאע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ארגון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אפסי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ושבועה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בארגון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דעא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איסלאמית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מוסכם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התאורה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מגרשי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כדורגל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בהינתן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למיקומו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מפורטות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מיוזמתו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ולתרום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בגיר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המשתמע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בתנאים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מהפעלת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דרוויש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ועיסא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אלקיעאן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מבקשת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מתאימים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המשתמע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שהמשמעות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בארגון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התפיסה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בהרחבה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מחלוקת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הבחנה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האיומים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שצורפה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מזערי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במגרש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בניגוד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סגור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תתפשט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המגרש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התיאורטית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להתפשט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התפשטות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לדומיננטיות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2006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זניח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התיישנה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בודדים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נתבקש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לזקוף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צמצומים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במיוחס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הפסול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בקהילה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הקרובים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כנה</w:t>
      </w:r>
      <w:r>
        <w:rPr>
          <w:rFonts w:cs="David" w:ascii="David" w:hAnsi="David"/>
          <w:color w:val="000000"/>
          <w:rtl w:val="true"/>
        </w:rPr>
        <w:t xml:space="preserve">.   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שוורצברג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חלושה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שהרעיון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העיקרי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הקטן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האצטדיון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המשיכו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במעשיהם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והוטעה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דתיות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יסתיים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ישפיע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להתאבד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ביטחוניות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הסכמת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רלוונטי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הניסיון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ראייתית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להוסיף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ביוקר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נפרד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נפרד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הערכים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וחופש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יודגש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חופש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החופש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זכותו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כרצונו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תפיסת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קיצונית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הגוף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ממעשיהם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ותכליתם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לשבש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לרווחת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תושבי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והסביבה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בנכס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בנכס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דנצינגר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פ</w:t>
      </w:r>
      <w:r>
        <w:rPr>
          <w:rFonts w:ascii="David" w:hAnsi="David"/>
          <w:color w:val="000000"/>
          <w:rtl w:val="true"/>
        </w:rPr>
        <w:t xml:space="preserve"> </w:t>
      </w:r>
      <w:hyperlink r:id="rId27">
        <w:r>
          <w:rPr>
            <w:rStyle w:val="Hyperlink"/>
            <w:rFonts w:cs="David" w:ascii="David" w:hAnsi="David"/>
            <w:color w:val="0000FF"/>
            <w:u w:val="single"/>
          </w:rPr>
          <w:t>1414/15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15.4.15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מהחמורות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ההרסני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ולרכושו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שראשיתה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תתפשט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היקפה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יודע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מנהגה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להתפשט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שליטה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בדרכה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משהעמיד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מבוצעת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בהתאמה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גישתו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העקבית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שיבטא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יחדיו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3116/13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קבלאן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15.10.13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1846/13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עמאש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1.12.13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3074/07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תקפה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27.3.08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6463/11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ברדוגו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5.6.12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5234/10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עקראוי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12.6.11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צינור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לגרום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מבודד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דהוא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19.1.14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וקבע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שבהחזקתו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באחרים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פ</w:t>
      </w:r>
      <w:r>
        <w:rPr>
          <w:rFonts w:ascii="David" w:hAnsi="David"/>
          <w:color w:val="000000"/>
          <w:rtl w:val="true"/>
        </w:rPr>
        <w:t xml:space="preserve"> </w:t>
      </w:r>
      <w:hyperlink r:id="rId34">
        <w:r>
          <w:rPr>
            <w:rStyle w:val="Hyperlink"/>
            <w:rFonts w:cs="David" w:ascii="David" w:hAnsi="David"/>
            <w:color w:val="0000FF"/>
            <w:u w:val="single"/>
          </w:rPr>
          <w:t>1332/04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19.4.04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709"/>
        <w:jc w:val="both"/>
        <w:rPr>
          <w:rFonts w:ascii="Calibri" w:hAnsi="Calibri" w:cs="Calibri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>"</w:t>
      </w:r>
      <w:r>
        <w:rPr>
          <w:rFonts w:ascii="Calibri" w:hAnsi="Calibri" w:cs="Calibri"/>
          <w:color w:val="000000"/>
          <w:rtl w:val="true"/>
        </w:rPr>
        <w:t>כבר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נאמר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אחת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בפסיקתנו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מידת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העונש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המוטל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בגין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עבירות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המבוצעות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בנשק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מושפעת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מפוטנציאל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הסיכון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הרב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הטמון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בנשק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המוחזק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כדין</w:t>
      </w:r>
      <w:r>
        <w:rPr>
          <w:rFonts w:cs="Calibri" w:ascii="Calibri" w:hAnsi="Calibri"/>
          <w:color w:val="000000"/>
          <w:rtl w:val="true"/>
        </w:rPr>
        <w:t xml:space="preserve">... </w:t>
      </w:r>
      <w:r>
        <w:rPr>
          <w:rFonts w:ascii="Calibri" w:hAnsi="Calibri" w:cs="Calibri"/>
          <w:color w:val="000000"/>
          <w:rtl w:val="true"/>
        </w:rPr>
        <w:t>בבוא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המשפט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לגזור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הדין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בעבירה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החזקה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ונשיאה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נשק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עליו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להתחשב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בנסיבות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בהן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באה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לידי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ביטוי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החומרה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המיוחדת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שבעבירה</w:t>
      </w:r>
      <w:r>
        <w:rPr>
          <w:rFonts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cs="Calibri"/>
          <w:color w:val="000000"/>
          <w:rtl w:val="true"/>
        </w:rPr>
        <w:t>בין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היתר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יתן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המשפט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דעתו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לסוג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הנשק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המוחזק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כדין</w:t>
      </w:r>
      <w:r>
        <w:rPr>
          <w:rFonts w:cs="Calibri" w:ascii="Calibri" w:hAnsi="Calibri"/>
          <w:color w:val="000000"/>
          <w:rtl w:val="true"/>
        </w:rPr>
        <w:t xml:space="preserve">... </w:t>
      </w:r>
      <w:r>
        <w:rPr>
          <w:rFonts w:ascii="Calibri" w:hAnsi="Calibri" w:cs="Calibri"/>
          <w:color w:val="000000"/>
          <w:rtl w:val="true"/>
        </w:rPr>
        <w:t>כאשר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מדובר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בנשק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שעל</w:t>
      </w:r>
      <w:r>
        <w:rPr>
          <w:rFonts w:cs="Calibri" w:ascii="Calibri" w:hAnsi="Calibri"/>
          <w:color w:val="000000"/>
          <w:rtl w:val="true"/>
        </w:rPr>
        <w:t>-</w:t>
      </w:r>
      <w:r>
        <w:rPr>
          <w:rFonts w:ascii="Calibri" w:hAnsi="Calibri" w:cs="Calibri"/>
          <w:color w:val="000000"/>
          <w:rtl w:val="true"/>
        </w:rPr>
        <w:t>פי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טיבו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אינו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מיועד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להגנה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עצמית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וכל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כולו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נשק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התקפי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רב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עוצמה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אשר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השימוש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יכול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להביא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להרג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ללא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הבחנה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יש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בעבירת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ההחזקה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והנשיאה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אותו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נשק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חומרה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מיוחדת</w:t>
      </w:r>
      <w:r>
        <w:rPr>
          <w:rFonts w:cs="Calibri" w:ascii="Calibri" w:hAnsi="Calibri"/>
          <w:color w:val="000000"/>
          <w:rtl w:val="true"/>
        </w:rPr>
        <w:t>".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אידיאולוגי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28.9.16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השחתת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,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-</w:t>
      </w:r>
      <w:r>
        <w:rPr>
          <w:rtl w:val="true"/>
        </w:rPr>
        <w:t>לשוני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טוויטו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31.1.16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-</w:t>
      </w:r>
      <w:r>
        <w:rPr>
          <w:rtl w:val="true"/>
        </w:rPr>
        <w:t>לשוני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28.12.10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ובשעת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התעברה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tl w:val="true"/>
        </w:rPr>
        <w:t xml:space="preserve">.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ושנה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המצורפים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bookmarkStart w:id="8" w:name="casename_body"/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8756/13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30.6.14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52691-02-13</w:t>
        </w:r>
      </w:hyperlink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מציתים</w:t>
      </w:r>
      <w:r>
        <w:rPr>
          <w:rtl w:val="true"/>
        </w:rPr>
        <w:t xml:space="preserve">, </w:t>
      </w:r>
      <w:r>
        <w:rPr>
          <w:rtl w:val="true"/>
        </w:rPr>
        <w:t>מילאו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למגרש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tl w:val="true"/>
        </w:rPr>
        <w:t xml:space="preserve">, </w:t>
      </w:r>
      <w:r>
        <w:rPr>
          <w:rtl w:val="true"/>
        </w:rPr>
        <w:t>שפכו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bookmarkStart w:id="9" w:name="casename_body"/>
      <w:r>
        <w:rPr>
          <w:rtl w:val="true"/>
        </w:rPr>
        <w:t>ב</w:t>
      </w:r>
      <w:hyperlink r:id="rId40">
        <w:bookmarkEnd w:id="9"/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6204/13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28.1.14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.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tl w:val="true"/>
        </w:rPr>
        <w:t xml:space="preserve">,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מהברזנט</w:t>
      </w:r>
      <w:r>
        <w:rPr>
          <w:rtl w:val="true"/>
        </w:rPr>
        <w:t xml:space="preserve">. </w:t>
      </w:r>
      <w:r>
        <w:rPr>
          <w:rtl w:val="true"/>
        </w:rPr>
        <w:t>דיירי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השריפה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3511/17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17.9.17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התמקמו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להציתו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האוהל</w:t>
      </w:r>
      <w:r>
        <w:rPr>
          <w:rtl w:val="true"/>
        </w:rPr>
        <w:t xml:space="preserve">,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ולשריפתם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נצ</w:t>
      </w:r>
      <w:r>
        <w:rPr>
          <w:rtl w:val="true"/>
        </w:rPr>
        <w:t xml:space="preserve">') </w:t>
      </w:r>
      <w:r>
        <w:rPr/>
        <w:t>57576-04-15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12.12.17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השחתת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הכנסייה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 </w:t>
      </w:r>
      <w:r>
        <w:rPr>
          <w:u w:val="single"/>
          <w:rtl w:val="true"/>
        </w:rPr>
        <w:t>יודגש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חלוט</w:t>
      </w:r>
      <w:r>
        <w:rPr>
          <w:rtl w:val="true"/>
        </w:rPr>
        <w:t xml:space="preserve">.  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  <w:tab w:val="left" w:pos="8504" w:leader="none"/>
        </w:tabs>
        <w:spacing w:lineRule="auto" w:line="360" w:before="0" w:after="120"/>
        <w:ind w:hanging="540" w:start="1286" w:end="0"/>
        <w:jc w:val="both"/>
        <w:rPr/>
      </w:pP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8718-02-14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ריכטר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4.2.15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והשחתת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הושבתה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אידיאולוגי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7496/12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זיתוני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24.6.13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60/12</w:t>
        </w:r>
      </w:hyperlink>
      <w:r>
        <w:rPr>
          <w:rtl w:val="true"/>
        </w:rPr>
        <w:t xml:space="preserve"> ‏</w:t>
      </w:r>
      <w:r>
        <w:rPr>
          <w:b/>
          <w:b/>
          <w:bCs/>
          <w:rtl w:val="true"/>
        </w:rPr>
        <w:t>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7.11.12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והצית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ברדוגו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ושילחו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ואישיות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1951/14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מקונן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15.2.15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בגילופין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hyperlink r:id="rId47">
        <w:bookmarkStart w:id="10" w:name="Text1"/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bookmarkEnd w:id="10"/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18.11.14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2717/15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חביבאללה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23.12.15</w:t>
      </w:r>
      <w:r>
        <w:rPr>
          <w:rtl w:val="true"/>
        </w:rPr>
        <w:t xml:space="preserve">)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בבנזין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והציצו</w:t>
      </w:r>
      <w:r>
        <w:rPr>
          <w:rtl w:val="true"/>
        </w:rPr>
        <w:t xml:space="preserve">.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3.12.17</w:t>
      </w:r>
      <w:r>
        <w:rPr>
          <w:rtl w:val="true"/>
        </w:rPr>
        <w:t xml:space="preserve">)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פוליטיים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5255/10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רודוניה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27.3.11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והצתה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מיעוטים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פסקי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הוגשו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לעיוני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18965-08-14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שלביאה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10.9.15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21013-06-14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יוסף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1.11.16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29895-01-15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עוסמאן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17.6.15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5690/15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3.12.15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2406/16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יונגר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29.9.16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; 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56232-12-14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מכלוף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8.9.15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Calibri" w:hAnsi="Calibri" w:cs="Calibri"/>
          <w:color w:val="000000"/>
          <w:rtl w:val="true"/>
        </w:rPr>
        <w:t>ב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53772-07-17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מ</w:t>
      </w:r>
      <w:r>
        <w:rPr>
          <w:rFonts w:cs="Calibri" w:ascii="Calibri" w:hAnsi="Calibri"/>
          <w:b/>
          <w:bCs/>
          <w:color w:val="000000"/>
          <w:rtl w:val="true"/>
        </w:rPr>
        <w:t>"</w:t>
      </w:r>
      <w:r>
        <w:rPr>
          <w:rFonts w:ascii="Calibri" w:hAnsi="Calibri" w:cs="Calibri"/>
          <w:b/>
          <w:b/>
          <w:bCs/>
          <w:color w:val="000000"/>
          <w:rtl w:val="true"/>
        </w:rPr>
        <w:t>י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</w:t>
      </w:r>
      <w:r>
        <w:rPr>
          <w:rFonts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rtl w:val="true"/>
        </w:rPr>
        <w:t>מלכה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>(</w:t>
      </w:r>
      <w:r>
        <w:rPr>
          <w:rFonts w:cs="Calibri" w:ascii="Calibri" w:hAnsi="Calibri"/>
          <w:color w:val="000000"/>
        </w:rPr>
        <w:t>19.11.17</w:t>
      </w:r>
      <w:r>
        <w:rPr>
          <w:rFonts w:cs="Calibri" w:ascii="Calibri" w:hAnsi="Calibri"/>
          <w:color w:val="000000"/>
          <w:rtl w:val="true"/>
        </w:rPr>
        <w:t xml:space="preserve">), </w:t>
      </w:r>
      <w:r>
        <w:rPr>
          <w:rFonts w:ascii="Calibri" w:hAnsi="Calibri" w:cs="Calibri"/>
          <w:color w:val="000000"/>
          <w:rtl w:val="true"/>
        </w:rPr>
        <w:t>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נידון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הנאשם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</w:t>
      </w:r>
      <w:r>
        <w:rPr>
          <w:rFonts w:cs="Calibri" w:ascii="Calibri" w:hAnsi="Calibri"/>
          <w:color w:val="000000"/>
          <w:rtl w:val="true"/>
        </w:rPr>
        <w:t>-</w:t>
      </w:r>
      <w:r>
        <w:rPr>
          <w:rFonts w:cs="Calibri" w:ascii="Calibri" w:hAnsi="Calibri"/>
          <w:color w:val="000000"/>
        </w:rPr>
        <w:t>33</w:t>
      </w:r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חודשי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מאסר</w:t>
      </w:r>
      <w:r>
        <w:rPr>
          <w:rFonts w:cs="Calibri" w:ascii="Calibri" w:hAnsi="Calibri"/>
          <w:color w:val="000000"/>
          <w:rtl w:val="true"/>
        </w:rPr>
        <w:t>;</w:t>
      </w:r>
      <w:r>
        <w:rPr>
          <w:rFonts w:cs="David" w:ascii="David" w:hAnsi="David"/>
          <w:color w:val="000000"/>
          <w:rtl w:val="true"/>
        </w:rPr>
        <w:t xml:space="preserve"> 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10735-08-09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דבאח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16.3.10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תפיסתם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הדתית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קיצונית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בהופעה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להתקיים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הקורבן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ודנו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באפשרויות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לסיכולה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הוסכם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הרעיון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האצטדיון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לאצטדיון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מתוכננת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לתחנת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ומילא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הצטיידו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מציתים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וצינור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ונסעו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לאצטדיון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הבקבוקים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וצעדו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האצטדיון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לאצטדיון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טיפסו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האצטדיון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והסתננו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לתוכו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תאורה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תאורה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והציתם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וכסאות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הפלסטיק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הצלחה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הכיסאות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מהאצטדיון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התקיימה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במועדה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בניסיון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חירום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למוקדנית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באצטדיון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יושביו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מתפוצץ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אוקטובר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הצטייד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בצינור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ופתיל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צינור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נפיץ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מילא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הצינור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באבק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שריפה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אטם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הצינור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צדדיו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הצינור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הפתיל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הדליק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בשטח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התפוצץ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בהצלחה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התכנון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שקדם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המתוארים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החליטו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התקיימות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ההופעה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התכנסו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אפשרויות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לבסוף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החליטו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ההצתה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הצטיידו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בדלק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מציתים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בקבוקים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וצינור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רעולי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מתוכנן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לפרטים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הצטיידו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הנדרש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זממם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ונקטו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באמצעים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זיהויים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1133" w:end="0"/>
        <w:jc w:val="both"/>
        <w:rPr>
          <w:color w:val="000000"/>
        </w:rPr>
      </w:pP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המיוחסים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מלמדות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הצטייד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במרכיבים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הנדרשים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הכין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מתוכננים</w:t>
      </w:r>
      <w:r>
        <w:rPr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חלקו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היחסי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ההשפעה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הוסכם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הרעיון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האצטדיון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בצוותא</w:t>
      </w:r>
      <w:r>
        <w:rPr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הצטיידו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מציתים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וצינור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ונסעו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לאצטדיון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מילאו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הבקבוקים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וצעדו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האצטדיון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טיפסו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האצטדיון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תאורה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הצלחה</w:t>
      </w:r>
      <w:r>
        <w:rPr>
          <w:rFonts w:cs="David" w:ascii="David" w:hAnsi="David"/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חלקו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1133" w:end="0"/>
        <w:jc w:val="both"/>
        <w:rPr>
          <w:color w:val="000000"/>
        </w:rPr>
      </w:pP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שפך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חשמל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תאורה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והציתם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באמצעות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מצית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133" w:end="0"/>
        <w:jc w:val="both"/>
        <w:rPr/>
      </w:pP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וכסאות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הפלסטיק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133" w:end="0"/>
        <w:jc w:val="both"/>
        <w:rPr/>
      </w:pP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ניסו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חשמל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הצלחה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האצטדיון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1133" w:end="0"/>
        <w:jc w:val="both"/>
        <w:rPr>
          <w:color w:val="000000"/>
        </w:rPr>
      </w:pP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נהג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לתחנת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ומילא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בדלק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באמצעות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הצלחה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עזב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האצטדיון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133" w:end="0"/>
        <w:jc w:val="both"/>
        <w:rPr>
          <w:color w:val="000000"/>
        </w:rPr>
      </w:pP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ההצתה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הרעיון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דווקא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קטן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מחלקם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133" w:end="0"/>
        <w:jc w:val="both"/>
        <w:rPr>
          <w:color w:val="000000"/>
        </w:rPr>
      </w:pP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סוכלה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התוכנית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האצטדיון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וההופעה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התקיימה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בנוכחות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3,000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התקיימות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ההופעה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למוקד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למוקדנית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הוטמנה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פצצה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דקות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יפעיל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הפצצה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נחישותו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והתמדתו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לפעול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ההופעה</w:t>
      </w:r>
      <w:r>
        <w:rPr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צפוי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לסכנה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הפוטנציאלית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הגלומה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הצתה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בהצתה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שנעשתה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פתוח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בקרבת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תתפשט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תפגע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הפוטנציאלים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ונזקים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קטלניים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היקף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133" w:end="0"/>
        <w:jc w:val="both"/>
        <w:rPr/>
      </w:pP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ההצתה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שהבהיר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עמית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4036/13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אמארה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5.10.14</w:t>
      </w:r>
      <w:r>
        <w:rPr>
          <w:color w:val="000000"/>
          <w:rtl w:val="true"/>
        </w:rPr>
        <w:t>)</w:t>
      </w:r>
    </w:p>
    <w:p>
      <w:pPr>
        <w:pStyle w:val="Normal"/>
        <w:spacing w:lineRule="auto" w:line="360" w:before="0" w:after="120"/>
        <w:ind w:start="1747" w:end="709"/>
        <w:jc w:val="both"/>
        <w:rPr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כשלעצמה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גם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כשהיא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מתייחסת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לרכוש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בלבד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נתפסת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כעבירה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חמורה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בין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היתר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הפוטנציאל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לגרימת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נזק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לגוף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בבחינת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>"</w:t>
      </w:r>
      <w:r>
        <w:rPr>
          <w:rFonts w:ascii="Calibri" w:hAnsi="Calibri" w:cs="Calibri"/>
          <w:color w:val="000000"/>
          <w:rtl w:val="true"/>
        </w:rPr>
        <w:t>אוי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לגפרור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שהצית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להבה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שסופה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ואחריתה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ישורנה</w:t>
      </w:r>
      <w:r>
        <w:rPr>
          <w:rFonts w:cs="Calibri" w:ascii="Calibri" w:hAnsi="Calibri"/>
          <w:color w:val="000000"/>
          <w:rtl w:val="true"/>
        </w:rPr>
        <w:t>" (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728/13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עווידה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</w:t>
      </w:r>
      <w:r>
        <w:rPr>
          <w:rFonts w:cs="Calibri" w:ascii="Calibri" w:hAnsi="Calibri"/>
          <w:color w:val="000000"/>
          <w:rtl w:val="true"/>
        </w:rPr>
        <w:t xml:space="preserve">' </w:t>
      </w:r>
      <w:r>
        <w:rPr>
          <w:rFonts w:ascii="Calibri" w:hAnsi="Calibri" w:cs="Calibri"/>
          <w:color w:val="000000"/>
          <w:rtl w:val="true"/>
        </w:rPr>
        <w:t>מדינת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ישראל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פסקה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7</w:t>
      </w:r>
      <w:r>
        <w:rPr>
          <w:rFonts w:cs="Calibri" w:ascii="Calibri" w:hAnsi="Calibri"/>
          <w:color w:val="000000"/>
          <w:rtl w:val="true"/>
        </w:rPr>
        <w:t xml:space="preserve"> (</w:t>
      </w:r>
      <w:r>
        <w:rPr>
          <w:rFonts w:cs="Calibri" w:ascii="Calibri" w:hAnsi="Calibri"/>
          <w:color w:val="000000"/>
        </w:rPr>
        <w:t>20.11.2013</w:t>
      </w:r>
      <w:r>
        <w:rPr>
          <w:rFonts w:cs="Calibri" w:ascii="Calibri" w:hAnsi="Calibri"/>
          <w:color w:val="000000"/>
          <w:rtl w:val="true"/>
        </w:rPr>
        <w:t xml:space="preserve">)). </w:t>
      </w:r>
      <w:r>
        <w:rPr>
          <w:rFonts w:ascii="Calibri" w:hAnsi="Calibri" w:cs="Calibri"/>
          <w:color w:val="000000"/>
          <w:rtl w:val="true"/>
        </w:rPr>
        <w:t>סעיף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448</w:t>
      </w:r>
      <w:r>
        <w:rPr>
          <w:rFonts w:cs="Calibri" w:ascii="Calibri" w:hAnsi="Calibri"/>
          <w:color w:val="000000"/>
          <w:rtl w:val="true"/>
        </w:rPr>
        <w:t>(</w:t>
      </w:r>
      <w:r>
        <w:rPr>
          <w:rFonts w:ascii="Calibri" w:hAnsi="Calibri" w:cs="Calibri"/>
          <w:color w:val="000000"/>
          <w:rtl w:val="true"/>
        </w:rPr>
        <w:t>א</w:t>
      </w:r>
      <w:r>
        <w:rPr>
          <w:rFonts w:cs="Calibri" w:ascii="Calibri" w:hAnsi="Calibri"/>
          <w:color w:val="000000"/>
          <w:rtl w:val="true"/>
        </w:rPr>
        <w:t xml:space="preserve">) </w:t>
      </w:r>
      <w:r>
        <w:rPr>
          <w:rFonts w:ascii="Calibri" w:hAnsi="Calibri" w:cs="Calibri"/>
          <w:color w:val="000000"/>
          <w:rtl w:val="true"/>
        </w:rPr>
        <w:t>ל</w:t>
      </w:r>
      <w:hyperlink r:id="rId6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קובע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מדרג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חומרה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בעבירות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הצתה</w:t>
      </w:r>
      <w:r>
        <w:rPr>
          <w:rFonts w:cs="Calibri" w:ascii="Calibri" w:hAnsi="Calibri"/>
          <w:color w:val="000000"/>
          <w:rtl w:val="true"/>
        </w:rPr>
        <w:t xml:space="preserve">... </w:t>
      </w:r>
      <w:r>
        <w:rPr>
          <w:rFonts w:ascii="Calibri" w:hAnsi="Calibri" w:cs="Calibri"/>
          <w:color w:val="000000"/>
          <w:rtl w:val="true"/>
        </w:rPr>
        <w:t>בתוך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מדרג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זה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ניתן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להצביע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מדרגי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ביניים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חומרה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מה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שיכול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להסביר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הסיבה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לכך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שהענישה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הנלווית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לעבירת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ההצתה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אינה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אחידה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ונעה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סקאלה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רחבה</w:t>
      </w:r>
      <w:r>
        <w:rPr>
          <w:rFonts w:cs="Calibri" w:ascii="Calibri" w:hAnsi="Calibri"/>
          <w:color w:val="000000"/>
          <w:rtl w:val="true"/>
        </w:rPr>
        <w:t xml:space="preserve">... </w:t>
      </w:r>
      <w:r>
        <w:rPr>
          <w:rFonts w:ascii="Calibri" w:hAnsi="Calibri" w:cs="Calibri"/>
          <w:color w:val="000000"/>
          <w:rtl w:val="true"/>
        </w:rPr>
        <w:t>הצתה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נכס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בנסיבות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שאין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לחשוש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ההצתה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תתפשט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לרכוש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אחר</w:t>
      </w:r>
      <w:r>
        <w:rPr>
          <w:rFonts w:cs="Calibri" w:ascii="Calibri" w:hAnsi="Calibri"/>
          <w:color w:val="000000"/>
          <w:rtl w:val="true"/>
        </w:rPr>
        <w:t xml:space="preserve">; </w:t>
      </w:r>
      <w:r>
        <w:rPr>
          <w:rFonts w:ascii="Calibri" w:hAnsi="Calibri" w:cs="Calibri"/>
          <w:color w:val="000000"/>
          <w:rtl w:val="true"/>
        </w:rPr>
        <w:t>הצתה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נכס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שעלולה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להתפשט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ולפגוע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ברכוש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אחר</w:t>
      </w:r>
      <w:r>
        <w:rPr>
          <w:rFonts w:cs="Calibri" w:ascii="Calibri" w:hAnsi="Calibri"/>
          <w:color w:val="000000"/>
          <w:rtl w:val="true"/>
        </w:rPr>
        <w:t xml:space="preserve">; </w:t>
      </w:r>
      <w:r>
        <w:rPr>
          <w:rFonts w:ascii="Calibri" w:hAnsi="Calibri" w:cs="Calibri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ובנפש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בנוכחותו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והמיידית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שמגביר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ובנפש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ובנפש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שהמצית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התכוון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מחשבה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פזיזות</w:t>
      </w:r>
      <w:r>
        <w:rPr>
          <w:rFonts w:cs="David" w:ascii="David" w:hAnsi="David"/>
          <w:color w:val="000000"/>
          <w:rtl w:val="true"/>
        </w:rPr>
        <w:t xml:space="preserve">); </w:t>
      </w:r>
      <w:r>
        <w:rPr>
          <w:rFonts w:ascii="David" w:hAnsi="David"/>
          <w:color w:val="000000"/>
          <w:rtl w:val="true"/>
        </w:rPr>
        <w:t>והצתה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ובנפש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מדרגי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להבחין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שעמדו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start="1133" w:end="0"/>
        <w:jc w:val="both"/>
        <w:rPr>
          <w:color w:val="000000"/>
        </w:rPr>
      </w:pPr>
      <w:r>
        <w:rPr>
          <w:color w:val="000000"/>
          <w:rtl w:val="true"/>
        </w:rPr>
        <w:t>נדמה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האצטדיון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שההצתה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סביב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חצות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ולאופן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ההצתה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למדרג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מצביעות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המרכזי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ולסיכול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ההופעה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ובנפש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133" w:end="0"/>
        <w:jc w:val="both"/>
        <w:rPr>
          <w:color w:val="000000"/>
        </w:rPr>
      </w:pP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המיוחס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שהפעלת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הצינור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לגרום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בשטח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פתוח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500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כיסאות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פלסטיק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רכיבים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החשמל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תאורה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מהדשא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ונגרמו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מיידים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78,000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שהביאו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לבצע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תפיסת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אידיאולוגית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קיצונית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מצדיקה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לכפות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ערכיה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האוכלוסייה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מחזיקה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אידיאולוגיה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דתית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התמיכה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בארגון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דאע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אסלאמית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ההגנה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למחלוקת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נפקות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אסלאמית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קיצונית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לשיטתם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ככפירה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באסלאם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יודגש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בהופעה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נועדה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וסביבתה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קרי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הקהילה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תפיסת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הערבי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מוסלמי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ולמנוע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התקיימותו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ציבורי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המנוגד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לתפיסת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עולמם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לכפות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תפיסת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עולמם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הרדיקלית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62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52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56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63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גילם</w:t>
      </w:r>
      <w:r>
        <w:rPr>
          <w:rtl w:val="true"/>
        </w:rPr>
        <w:t xml:space="preserve">: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".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ביטחונית</w:t>
      </w:r>
      <w:r>
        <w:rPr>
          <w:rtl w:val="true"/>
        </w:rPr>
        <w:t xml:space="preserve">"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וחזרתם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tl w:val="true"/>
        </w:rPr>
        <w:t xml:space="preserve">;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בחקירתם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b/>
          <w:bCs/>
        </w:rPr>
      </w:pPr>
      <w:r>
        <w:rPr>
          <w:b/>
          <w:b/>
          <w:bCs/>
          <w:rtl w:val="true"/>
        </w:rPr>
        <w:t>מאמצי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בשלה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נרתמה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בשוודיה</w:t>
      </w:r>
      <w:r>
        <w:rPr>
          <w:rtl w:val="true"/>
        </w:rPr>
        <w:t xml:space="preserve">, </w:t>
      </w:r>
      <w:r>
        <w:rPr>
          <w:rtl w:val="true"/>
        </w:rPr>
        <w:t>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לשקמו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b/>
          <w:bCs/>
        </w:rPr>
      </w:pPr>
      <w:r>
        <w:rPr>
          <w:b/>
          <w:b/>
          <w:bCs/>
          <w:rtl w:val="true"/>
        </w:rPr>
        <w:t>שיתוף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1-2</w:t>
      </w:r>
      <w:r>
        <w:rPr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עברם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tl w:val="true"/>
        </w:rPr>
        <w:t xml:space="preserve">;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 xml:space="preserve">) </w:t>
      </w:r>
      <w:r>
        <w:rPr/>
        <w:t>38813-04-14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20.5.15</w:t>
      </w:r>
      <w:r>
        <w:rPr>
          <w:rtl w:val="true"/>
        </w:rPr>
        <w:t xml:space="preserve">)).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1286"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((</w:t>
      </w:r>
      <w:hyperlink r:id="rId6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14060-05-09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נאשף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23.9.09</w:t>
      </w:r>
      <w:r>
        <w:rPr>
          <w:rtl w:val="true"/>
        </w:rPr>
        <w:t xml:space="preserve">) 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 </w:t>
      </w:r>
      <w:hyperlink r:id="rId65">
        <w:r>
          <w:rPr>
            <w:rStyle w:val="Hyperlink"/>
            <w:color w:val="0000FF"/>
            <w:u w:val="single"/>
          </w:rPr>
          <w:t>2471/07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5.4.09</w:t>
      </w:r>
      <w:r>
        <w:rPr>
          <w:rtl w:val="true"/>
        </w:rPr>
        <w:t xml:space="preserve">)). 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מהכניסות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לטייבה</w:t>
      </w:r>
      <w:r>
        <w:rPr>
          <w:rtl w:val="true"/>
        </w:rPr>
        <w:t xml:space="preserve">,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444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286" w:end="0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בעברם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ממסדי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286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שמטרתה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הציבורי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כאמור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האמצעי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133" w:end="0"/>
        <w:jc w:val="both"/>
        <w:rPr/>
      </w:pP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6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38813-04-14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ג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אברה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20.5.15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השופטת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ברודי</w:t>
      </w:r>
      <w:r>
        <w:rPr>
          <w:color w:val="000000"/>
          <w:rtl w:val="true"/>
        </w:rPr>
        <w:t>) "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...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u w:val="single"/>
          <w:rtl w:val="true"/>
        </w:rPr>
        <w:t>עבירת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אלימות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מסוג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פשע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יסוד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הופנתה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האלימות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ומשכך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התקיימו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היסודות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color w:val="000000"/>
          <w:rtl w:val="true"/>
        </w:rPr>
        <w:t>.</w:t>
      </w:r>
    </w:p>
    <w:p>
      <w:pPr>
        <w:pStyle w:val="Normal"/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/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רובינשטיין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</w:t>
      </w:r>
      <w:hyperlink r:id="rId6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6352/12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סעדה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23.9.12</w:t>
      </w:r>
      <w:r>
        <w:rPr>
          <w:color w:val="000000"/>
          <w:rtl w:val="true"/>
        </w:rPr>
        <w:t xml:space="preserve">): </w:t>
      </w:r>
    </w:p>
    <w:p>
      <w:pPr>
        <w:pStyle w:val="Normal"/>
        <w:tabs>
          <w:tab w:val="clear" w:pos="720"/>
          <w:tab w:val="left" w:pos="1133" w:leader="none"/>
        </w:tabs>
        <w:spacing w:lineRule="auto" w:line="360" w:before="0" w:after="120"/>
        <w:ind w:start="1416" w:end="567"/>
        <w:jc w:val="both"/>
        <w:rPr>
          <w:color w:val="000000"/>
        </w:rPr>
      </w:pPr>
      <w:r>
        <w:rPr>
          <w:color w:val="000000"/>
          <w:rtl w:val="true"/>
        </w:rPr>
        <w:tab/>
        <w:t>"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color w:val="000000"/>
          <w:rtl w:val="true"/>
        </w:rPr>
        <w:t xml:space="preserve">... </w:t>
      </w:r>
      <w:r>
        <w:rPr>
          <w:color w:val="000000"/>
          <w:rtl w:val="true"/>
        </w:rPr>
        <w:t>במילון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מוגדרת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תוקפנות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>הגדרה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התוקפנות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הנדרש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שתתרחש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בקרבן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התרחשותה</w:t>
      </w:r>
      <w:r>
        <w:rPr>
          <w:color w:val="000000"/>
          <w:rtl w:val="true"/>
        </w:rPr>
        <w:t xml:space="preserve">".      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האמצעי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לגביו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ההצתה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כמו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u w:val="single"/>
        </w:rPr>
        <w:t>1</w:t>
      </w:r>
      <w:r>
        <w:rPr>
          <w:rFonts w:cs="David" w:ascii="David" w:hAnsi="David"/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14.9.16</w:t>
      </w:r>
      <w:r>
        <w:rPr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6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38813-04-14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20.5.15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14.9.16</w:t>
      </w:r>
      <w:r>
        <w:rPr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לעיריית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טייבה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1.3.18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שתמסור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b/>
          <w:b/>
          <w:bCs/>
          <w:color w:val="000000"/>
          <w:u w:val="single"/>
          <w:rtl w:val="true"/>
          <w:lang w:eastAsia="he-IL"/>
        </w:rPr>
        <w:t>נאשם</w:t>
      </w:r>
      <w:r>
        <w:rPr>
          <w:rFonts w:ascii="David" w:hAnsi="David"/>
          <w:b/>
          <w:b/>
          <w:bCs/>
          <w:color w:val="000000"/>
          <w:u w:val="single"/>
          <w:rtl w:val="true"/>
          <w:lang w:eastAsia="he-IL"/>
        </w:rPr>
        <w:t xml:space="preserve"> </w:t>
      </w:r>
      <w:r>
        <w:rPr>
          <w:rFonts w:cs="David" w:ascii="David" w:hAnsi="David"/>
          <w:b/>
          <w:bCs/>
          <w:color w:val="000000"/>
          <w:u w:val="single"/>
          <w:lang w:eastAsia="he-IL"/>
        </w:rPr>
        <w:t>2</w:t>
      </w:r>
      <w:r>
        <w:rPr>
          <w:rFonts w:cs="David" w:ascii="David" w:hAnsi="David"/>
          <w:b/>
          <w:bCs/>
          <w:color w:val="000000"/>
          <w:u w:val="single"/>
          <w:rtl w:val="true"/>
          <w:lang w:eastAsia="he-IL"/>
        </w:rPr>
        <w:t xml:space="preserve">: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416" w:leader="none"/>
        </w:tabs>
        <w:spacing w:lineRule="auto" w:line="360" w:before="0" w:after="120"/>
        <w:ind w:hanging="709" w:start="1416" w:end="0"/>
        <w:jc w:val="both"/>
        <w:rPr/>
      </w:pP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14.9.16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286" w:leader="none"/>
          <w:tab w:val="left" w:pos="1416" w:leader="none"/>
        </w:tabs>
        <w:spacing w:lineRule="auto" w:line="360" w:before="0" w:after="120"/>
        <w:ind w:hanging="709" w:start="1416" w:end="0"/>
        <w:jc w:val="both"/>
        <w:rPr/>
      </w:pPr>
      <w:r>
        <w:rPr>
          <w:rFonts w:cs="Times New Roman"/>
          <w:rtl w:val="true"/>
        </w:rPr>
        <w:t xml:space="preserve">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286" w:leader="none"/>
          <w:tab w:val="left" w:pos="1416" w:leader="none"/>
        </w:tabs>
        <w:spacing w:lineRule="auto" w:line="360" w:before="0" w:after="120"/>
        <w:ind w:hanging="709" w:start="1416" w:end="0"/>
        <w:jc w:val="both"/>
        <w:rPr/>
      </w:pP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286" w:leader="none"/>
          <w:tab w:val="left" w:pos="1416" w:leader="none"/>
        </w:tabs>
        <w:spacing w:lineRule="auto" w:line="360" w:before="0" w:after="120"/>
        <w:ind w:hanging="709" w:start="1416"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לעיריית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טייבה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1.3.18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שתמסור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b/>
          <w:b/>
          <w:bCs/>
          <w:color w:val="000000"/>
          <w:u w:val="single"/>
          <w:rtl w:val="true"/>
          <w:lang w:eastAsia="he-IL"/>
        </w:rPr>
        <w:t>נאשם</w:t>
      </w:r>
      <w:r>
        <w:rPr>
          <w:rFonts w:ascii="David" w:hAnsi="David"/>
          <w:b/>
          <w:b/>
          <w:bCs/>
          <w:color w:val="000000"/>
          <w:u w:val="single"/>
          <w:rtl w:val="true"/>
          <w:lang w:eastAsia="he-IL"/>
        </w:rPr>
        <w:t xml:space="preserve"> </w:t>
      </w:r>
      <w:r>
        <w:rPr>
          <w:rFonts w:cs="David" w:ascii="David" w:hAnsi="David"/>
          <w:b/>
          <w:bCs/>
          <w:color w:val="000000"/>
          <w:u w:val="single"/>
          <w:lang w:eastAsia="he-IL"/>
        </w:rPr>
        <w:t>3</w:t>
      </w:r>
      <w:r>
        <w:rPr>
          <w:rFonts w:cs="David" w:ascii="David" w:hAnsi="David"/>
          <w:b/>
          <w:bCs/>
          <w:color w:val="000000"/>
          <w:u w:val="single"/>
          <w:rtl w:val="true"/>
          <w:lang w:eastAsia="he-IL"/>
        </w:rPr>
        <w:t>:</w:t>
      </w:r>
    </w:p>
    <w:p>
      <w:pPr>
        <w:pStyle w:val="Normal"/>
        <w:numPr>
          <w:ilvl w:val="0"/>
          <w:numId w:val="8"/>
        </w:numPr>
        <w:spacing w:lineRule="auto" w:line="360" w:before="0" w:after="120"/>
        <w:ind w:hanging="709" w:start="1416" w:end="0"/>
        <w:jc w:val="both"/>
        <w:rPr/>
      </w:pPr>
      <w:r>
        <w:rPr>
          <w:b/>
          <w:bCs/>
          <w:lang w:eastAsia="he-IL"/>
        </w:rPr>
        <w:t>28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14.9.16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8"/>
        </w:numPr>
        <w:spacing w:lineRule="auto" w:line="360" w:before="0" w:after="120"/>
        <w:ind w:hanging="709" w:start="1416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ind w:hanging="709" w:start="1416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ind w:hanging="709" w:start="1416" w:end="0"/>
        <w:jc w:val="both"/>
        <w:rPr>
          <w:lang w:eastAsia="he-IL"/>
        </w:rPr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26,000</w:t>
      </w:r>
      <w:r>
        <w:rPr>
          <w:rtl w:val="true"/>
        </w:rPr>
        <w:t xml:space="preserve"> ₪ </w:t>
      </w:r>
      <w:r>
        <w:rPr>
          <w:rtl w:val="true"/>
        </w:rPr>
        <w:t>לעיריית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1.3.18</w:t>
      </w:r>
      <w:r>
        <w:rPr>
          <w:rtl w:val="true"/>
        </w:rPr>
        <w:t xml:space="preserve">,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שתמסור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82"/>
      <w:footerReference w:type="default" r:id="rId8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19019-10-16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6">
    <w:lvl w:ilvl="0">
      <w:start w:val="2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9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10">
    <w:lvl w:ilvl="0">
      <w:start w:val="1"/>
      <w:numFmt w:val="hebrew1"/>
      <w:lvlText w:val="%1."/>
      <w:lvlJc w:val="end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2">
    <w:name w:val="WW8Num4z2"/>
    <w:qFormat/>
    <w:rPr>
      <w:rFonts w:cs="Times New Roman"/>
    </w:rPr>
  </w:style>
  <w:style w:type="character" w:styleId="WW8Num5z0">
    <w:name w:val="WW8Num5z0"/>
    <w:qFormat/>
    <w:rPr>
      <w:rFonts w:cs="David"/>
      <w:b w:val="false"/>
      <w:bCs w:val="false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David"/>
      <w:b w:val="false"/>
      <w:bCs w:val="false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ascii="Times New (W1);Times New Roman" w:hAnsi="Times New (W1);Times New Roman" w:cs="Times New (W1);Times New Roman"/>
      <w:color w:val="000000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David"/>
      <w:b w:val="false"/>
      <w:bCs w:val="false"/>
    </w:rPr>
  </w:style>
  <w:style w:type="character" w:styleId="WW8Num8z3">
    <w:name w:val="WW8Num8z3"/>
    <w:qFormat/>
    <w:rPr>
      <w:rFonts w:cs="Times New Roman"/>
    </w:rPr>
  </w:style>
  <w:style w:type="character" w:styleId="WW8Num9z0">
    <w:name w:val="WW8Num9z0"/>
    <w:qFormat/>
    <w:rPr>
      <w:rFonts w:cs="Times New Roman"/>
      <w:b w:val="false"/>
      <w:bCs w:val="false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David"/>
      <w:b w:val="false"/>
      <w:bCs w:val="false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  <w:b w:val="false"/>
      <w:bCs w:val="false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7z2">
    <w:name w:val="WW8Num17z2"/>
    <w:qFormat/>
    <w:rPr>
      <w:rFonts w:cs="Times New Roman"/>
    </w:rPr>
  </w:style>
  <w:style w:type="character" w:styleId="WW8Num18z0">
    <w:name w:val="WW8Num18z0"/>
    <w:qFormat/>
    <w:rPr>
      <w:rFonts w:cs="David"/>
      <w:b w:val="false"/>
      <w:bCs w:val="false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/>
  </w:style>
  <w:style w:type="character" w:styleId="WW8Num20z0">
    <w:name w:val="WW8Num20z0"/>
    <w:qFormat/>
    <w:rPr>
      <w:rFonts w:cs="Times New Roman"/>
    </w:rPr>
  </w:style>
  <w:style w:type="character" w:styleId="WW8Num20z1">
    <w:name w:val="WW8Num20z1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1z1">
    <w:name w:val="WW8Num21z1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WW8Num22z1">
    <w:name w:val="WW8Num22z1"/>
    <w:qFormat/>
    <w:rPr>
      <w:rFonts w:cs="Times New Roman"/>
    </w:rPr>
  </w:style>
  <w:style w:type="character" w:styleId="WW8Num23z0">
    <w:name w:val="WW8Num23z0"/>
    <w:qFormat/>
    <w:rPr>
      <w:rFonts w:cs="David"/>
      <w:b w:val="false"/>
      <w:bCs w:val="false"/>
    </w:rPr>
  </w:style>
  <w:style w:type="character" w:styleId="WW8Num24z0">
    <w:name w:val="WW8Num24z0"/>
    <w:qFormat/>
    <w:rPr>
      <w:rFonts w:cs="David"/>
      <w:b w:val="false"/>
      <w:bCs w:val="false"/>
    </w:rPr>
  </w:style>
  <w:style w:type="character" w:styleId="WW8Num24z1">
    <w:name w:val="WW8Num2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big-number">
    <w:name w:val="big-number"/>
    <w:qFormat/>
    <w:rPr>
      <w:rFonts w:ascii="Times New Roman" w:hAnsi="Times New Roman" w:cs="Times New Roman"/>
      <w:sz w:val="32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Arial TUR;Arial"/>
      <w:spacing w:val="10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ind w:hanging="283" w:start="283" w:end="0"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3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4">
    <w:name w:val="ממוספר"/>
    <w:basedOn w:val="Normal"/>
    <w:qFormat/>
    <w:pPr>
      <w:numPr>
        <w:ilvl w:val="0"/>
        <w:numId w:val="6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"/>
      <w:spacing w:val="10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4.g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f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0301/447.a.1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case/21563564" TargetMode="External"/><Relationship Id="rId15" Type="http://schemas.openxmlformats.org/officeDocument/2006/relationships/hyperlink" Target="http://www.nevo.co.il/case/21563563" TargetMode="External"/><Relationship Id="rId16" Type="http://schemas.openxmlformats.org/officeDocument/2006/relationships/hyperlink" Target="http://www.nevo.co.il/law/72515/4.g" TargetMode="External"/><Relationship Id="rId17" Type="http://schemas.openxmlformats.org/officeDocument/2006/relationships/hyperlink" Target="http://www.nevo.co.il/law/72515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47.a.1" TargetMode="External"/><Relationship Id="rId22" Type="http://schemas.openxmlformats.org/officeDocument/2006/relationships/hyperlink" Target="http://www.nevo.co.il/law/70301/144f" TargetMode="External"/><Relationship Id="rId23" Type="http://schemas.openxmlformats.org/officeDocument/2006/relationships/hyperlink" Target="http://www.nevo.co.il/law/70301/448.a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192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case/20050835" TargetMode="External"/><Relationship Id="rId28" Type="http://schemas.openxmlformats.org/officeDocument/2006/relationships/hyperlink" Target="http://www.nevo.co.il/case/6959068" TargetMode="External"/><Relationship Id="rId29" Type="http://schemas.openxmlformats.org/officeDocument/2006/relationships/hyperlink" Target="http://www.nevo.co.il/case/6731208" TargetMode="External"/><Relationship Id="rId30" Type="http://schemas.openxmlformats.org/officeDocument/2006/relationships/hyperlink" Target="http://www.nevo.co.il/case/5873901" TargetMode="External"/><Relationship Id="rId31" Type="http://schemas.openxmlformats.org/officeDocument/2006/relationships/hyperlink" Target="http://www.nevo.co.il/case/5594657" TargetMode="External"/><Relationship Id="rId32" Type="http://schemas.openxmlformats.org/officeDocument/2006/relationships/hyperlink" Target="http://www.nevo.co.il/case/5818443" TargetMode="External"/><Relationship Id="rId33" Type="http://schemas.openxmlformats.org/officeDocument/2006/relationships/hyperlink" Target="http://www.nevo.co.il/case/7791493" TargetMode="External"/><Relationship Id="rId34" Type="http://schemas.openxmlformats.org/officeDocument/2006/relationships/hyperlink" Target="http://www.nevo.co.il/case/5762686" TargetMode="External"/><Relationship Id="rId35" Type="http://schemas.openxmlformats.org/officeDocument/2006/relationships/hyperlink" Target="http://www.nevo.co.il/case/20911367" TargetMode="External"/><Relationship Id="rId36" Type="http://schemas.openxmlformats.org/officeDocument/2006/relationships/hyperlink" Target="http://www.nevo.co.il/case/20923902" TargetMode="External"/><Relationship Id="rId37" Type="http://schemas.openxmlformats.org/officeDocument/2006/relationships/hyperlink" Target="http://www.nevo.co.il/case/6010862" TargetMode="External"/><Relationship Id="rId38" Type="http://schemas.openxmlformats.org/officeDocument/2006/relationships/hyperlink" Target="http://www.nevo.co.il/case/10546747" TargetMode="External"/><Relationship Id="rId39" Type="http://schemas.openxmlformats.org/officeDocument/2006/relationships/hyperlink" Target="http://www.nevo.co.il/case/6669729" TargetMode="External"/><Relationship Id="rId40" Type="http://schemas.openxmlformats.org/officeDocument/2006/relationships/hyperlink" Target="http://www.nevo.co.il/case/7998009" TargetMode="External"/><Relationship Id="rId41" Type="http://schemas.openxmlformats.org/officeDocument/2006/relationships/hyperlink" Target="http://www.nevo.co.il/case/22576642" TargetMode="External"/><Relationship Id="rId42" Type="http://schemas.openxmlformats.org/officeDocument/2006/relationships/hyperlink" Target="http://www.nevo.co.il/case/11295606" TargetMode="External"/><Relationship Id="rId43" Type="http://schemas.openxmlformats.org/officeDocument/2006/relationships/hyperlink" Target="http://www.nevo.co.il/case/5601467" TargetMode="External"/><Relationship Id="rId44" Type="http://schemas.openxmlformats.org/officeDocument/2006/relationships/hyperlink" Target="http://www.nevo.co.il/case/5570864" TargetMode="External"/><Relationship Id="rId45" Type="http://schemas.openxmlformats.org/officeDocument/2006/relationships/hyperlink" Target="http://www.nevo.co.il/case/5594657" TargetMode="External"/><Relationship Id="rId46" Type="http://schemas.openxmlformats.org/officeDocument/2006/relationships/hyperlink" Target="http://www.nevo.co.il/case/13077164" TargetMode="External"/><Relationship Id="rId47" Type="http://schemas.openxmlformats.org/officeDocument/2006/relationships/hyperlink" Target="http://www.nevo.co.il/case/11309013" TargetMode="External"/><Relationship Id="rId48" Type="http://schemas.openxmlformats.org/officeDocument/2006/relationships/hyperlink" Target="http://www.nevo.co.il/case/20210117" TargetMode="External"/><Relationship Id="rId49" Type="http://schemas.openxmlformats.org/officeDocument/2006/relationships/hyperlink" Target="http://www.nevo.co.il/case/22923903" TargetMode="External"/><Relationship Id="rId50" Type="http://schemas.openxmlformats.org/officeDocument/2006/relationships/hyperlink" Target="http://www.nevo.co.il/case/5949387" TargetMode="External"/><Relationship Id="rId51" Type="http://schemas.openxmlformats.org/officeDocument/2006/relationships/hyperlink" Target="http://www.nevo.co.il/case/17966384" TargetMode="External"/><Relationship Id="rId52" Type="http://schemas.openxmlformats.org/officeDocument/2006/relationships/hyperlink" Target="http://www.nevo.co.il/case/16994281" TargetMode="External"/><Relationship Id="rId53" Type="http://schemas.openxmlformats.org/officeDocument/2006/relationships/hyperlink" Target="http://www.nevo.co.il/case/18818183" TargetMode="External"/><Relationship Id="rId54" Type="http://schemas.openxmlformats.org/officeDocument/2006/relationships/hyperlink" Target="http://www.nevo.co.il/case/20531137" TargetMode="External"/><Relationship Id="rId55" Type="http://schemas.openxmlformats.org/officeDocument/2006/relationships/hyperlink" Target="http://www.nevo.co.il/case/21055840" TargetMode="External"/><Relationship Id="rId56" Type="http://schemas.openxmlformats.org/officeDocument/2006/relationships/hyperlink" Target="http://www.nevo.co.il/case/18762911" TargetMode="External"/><Relationship Id="rId57" Type="http://schemas.openxmlformats.org/officeDocument/2006/relationships/hyperlink" Target="http://www.nevo.co.il/case/22854655" TargetMode="External"/><Relationship Id="rId58" Type="http://schemas.openxmlformats.org/officeDocument/2006/relationships/hyperlink" Target="http://www.nevo.co.il/case/5798073" TargetMode="External"/><Relationship Id="rId59" Type="http://schemas.openxmlformats.org/officeDocument/2006/relationships/hyperlink" Target="http://www.nevo.co.il/case/7665459" TargetMode="External"/><Relationship Id="rId60" Type="http://schemas.openxmlformats.org/officeDocument/2006/relationships/hyperlink" Target="http://www.nevo.co.il/case/5146128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0jc" TargetMode="External"/><Relationship Id="rId63" Type="http://schemas.openxmlformats.org/officeDocument/2006/relationships/hyperlink" Target="http://www.nevo.co.il/law/70301/40ja" TargetMode="External"/><Relationship Id="rId64" Type="http://schemas.openxmlformats.org/officeDocument/2006/relationships/hyperlink" Target="http://www.nevo.co.il/case/4437886" TargetMode="External"/><Relationship Id="rId65" Type="http://schemas.openxmlformats.org/officeDocument/2006/relationships/hyperlink" Target="http://www.nevo.co.il/case/2291337" TargetMode="External"/><Relationship Id="rId66" Type="http://schemas.openxmlformats.org/officeDocument/2006/relationships/hyperlink" Target="http://www.nevo.co.il/case/16891620" TargetMode="External"/><Relationship Id="rId67" Type="http://schemas.openxmlformats.org/officeDocument/2006/relationships/hyperlink" Target="http://www.nevo.co.il/case/5594340" TargetMode="External"/><Relationship Id="rId68" Type="http://schemas.openxmlformats.org/officeDocument/2006/relationships/hyperlink" Target="http://www.nevo.co.il/case/16891620" TargetMode="External"/><Relationship Id="rId69" Type="http://schemas.openxmlformats.org/officeDocument/2006/relationships/hyperlink" Target="http://www.nevo.co.il/law/70301/144f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144f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144f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144f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144f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/144f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advertisements/nevo-100.doc" TargetMode="External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numbering" Target="numbering.xml"/><Relationship Id="rId85" Type="http://schemas.openxmlformats.org/officeDocument/2006/relationships/fontTable" Target="fontTable.xml"/><Relationship Id="rId86" Type="http://schemas.openxmlformats.org/officeDocument/2006/relationships/settings" Target="settings.xml"/><Relationship Id="rId8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2018-09-26T08:09:00Z</dcterms:created>
  <dc:creator> </dc:creator>
  <dc:description/>
  <cp:keywords/>
  <dc:language>en-IL</dc:language>
  <cp:lastModifiedBy>run</cp:lastModifiedBy>
  <dcterms:modified xsi:type="dcterms:W3CDTF">2018-09-26T08:09:00Z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ג'בארה;מוחמד נאשף;שייך יוסף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21563564;21563563;20050835;6959068;6731208;5873901;5594657:2;5818443;7791493;5762686;20911367;20923902;6010862;10546747;6669729;7998009;22576642;11295606;5601467;5570864;13077164;11309013;20210117;22923903;5949387;17966384;16994281;18818183;20531137</vt:lpwstr>
  </property>
  <property fmtid="{D5CDD505-2E9C-101B-9397-08002B2CF9AE}" pid="9" name="CASESLISTTMP2">
    <vt:lpwstr>21055840;18762911;22854655;5798073;7665459;5146128;4437886;2291337;16891620:2;5594340</vt:lpwstr>
  </property>
  <property fmtid="{D5CDD505-2E9C-101B-9397-08002B2CF9AE}" pid="10" name="CITY">
    <vt:lpwstr>מרכז</vt:lpwstr>
  </property>
  <property fmtid="{D5CDD505-2E9C-101B-9397-08002B2CF9AE}" pid="11" name="DATE">
    <vt:lpwstr>20171228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עמי קובו</vt:lpwstr>
  </property>
  <property fmtid="{D5CDD505-2E9C-101B-9397-08002B2CF9AE}" pid="15" name="LAWLISTTMP1">
    <vt:lpwstr>72515/004.g</vt:lpwstr>
  </property>
  <property fmtid="{D5CDD505-2E9C-101B-9397-08002B2CF9AE}" pid="16" name="LAWLISTTMP2">
    <vt:lpwstr>70301/499.a.1;447.a.1;144f:7;448.a;029;192;144.a;40jc;40ja</vt:lpwstr>
  </property>
  <property fmtid="{D5CDD505-2E9C-101B-9397-08002B2CF9AE}" pid="17" name="LAWYER">
    <vt:lpwstr>רועי רייס;עלא תילאווי;עיסא אבו אלקיעאן;דרוויש;חיים שוורצברג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19019</vt:lpwstr>
  </property>
  <property fmtid="{D5CDD505-2E9C-101B-9397-08002B2CF9AE}" pid="24" name="NEWPARTB">
    <vt:lpwstr>10</vt:lpwstr>
  </property>
  <property fmtid="{D5CDD505-2E9C-101B-9397-08002B2CF9AE}" pid="25" name="NEWPARTC">
    <vt:lpwstr>16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390020171228</vt:lpwstr>
  </property>
  <property fmtid="{D5CDD505-2E9C-101B-9397-08002B2CF9AE}" pid="36" name="TYPE_N_DATE">
    <vt:lpwstr>39020171228</vt:lpwstr>
  </property>
  <property fmtid="{D5CDD505-2E9C-101B-9397-08002B2CF9AE}" pid="37" name="VOLUME">
    <vt:lpwstr/>
  </property>
  <property fmtid="{D5CDD505-2E9C-101B-9397-08002B2CF9AE}" pid="38" name="WORDNUMPAGES">
    <vt:lpwstr>23</vt:lpwstr>
  </property>
</Properties>
</file>