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19130-12-21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י פרקליטות מחוז חיפה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פלוני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ד יוסף שלבי 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4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48"/>
      </w:tblGrid>
      <w:tr>
        <w:trPr>
          <w:trHeight w:val="355" w:hRule="atLeast"/>
        </w:trPr>
        <w:tc>
          <w:tcPr>
            <w:tcW w:w="8848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>הנאשם שלפניי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הודאתו במסגרת הסדר טיעון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 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rtl w:val="true"/>
        </w:rPr>
        <w:t xml:space="preserve">הפרעה לשוטר במילוי תפקידו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כניסה ושהייה בישראל בניגוד לחוק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1952</w:t>
      </w:r>
      <w:r>
        <w:rPr>
          <w:rFonts w:cs="David" w:ascii="David" w:hAnsi="David"/>
          <w:rtl w:val="true"/>
        </w:rPr>
        <w:t xml:space="preserve"> </w:t>
      </w:r>
      <w:bookmarkStart w:id="10" w:name="ABSTRACT_END"/>
      <w:bookmarkEnd w:id="10"/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הכניסה לישראל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 הטיעון לא כלל הסכמה בדבר העונש שייגזר על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אשר כפר תחילה בעובדות כתב האישום שהוגש כנגדו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בו במסגרת הסדר הטיעון מכפירתו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והודה בעובדות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לאחר שנשמעו מקצת מן הראיות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שעיקרן יפורט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הוא 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שברשות הפלסטינית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אינו מורשה כניסה לישראל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26.11.2021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20:00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בשכונת אלקואס באום אל פאחם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שהה ברכב מסוג יונדאי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יחד עם ארבעה נוספים שזהותם אינה ידועה למאשימה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כשהנאשם נושא בתוך גרב בכיס מעילו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חצי אוטומטי </w:t>
      </w:r>
      <w:r>
        <w:rPr>
          <w:rFonts w:cs="David" w:ascii="David" w:hAnsi="David"/>
          <w:sz w:val="22"/>
          <w:szCs w:val="22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תוצרת בלגיה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מודל </w:t>
      </w:r>
      <w:r>
        <w:rPr>
          <w:rFonts w:cs="David" w:ascii="David" w:hAnsi="David"/>
          <w:sz w:val="22"/>
          <w:szCs w:val="22"/>
        </w:rPr>
        <w:t>HP</w:t>
      </w:r>
      <w:r>
        <w:rPr>
          <w:rFonts w:cs="David" w:ascii="David" w:hAnsi="David"/>
        </w:rPr>
        <w:t>-35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ובתוכו מחסנית מתאימה ובה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המחסנית והכדורים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להלן יחד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זאת עשה הנאשם 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וכשהוא שוהה בישראל ללא היתר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האקדח הוא כלי נשק אשר סוגל לירות כדור שבכוחו להמית אדם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המחסנית והכדורים הם אביזר ותחמושת לכלי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סמוך לרכב עמד אדם שזהותו 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ושוחח עם נהג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השוטרים מוחמד חריב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השוטר מוחמד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וסתיו בן שמעון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השוטרת סתיו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שביצעו אותה העת פעילות אכיפת קורונה נגד עסקים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ניגשו אל הרכב והחלו לשוחח עם האדם שעמד סמוך לרכב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אשר ישב במושב האחורי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מהרכב כשהוא נושא את הנשק במעיל שעל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 להימלט בריצה לכיוון גדר המערכת הנמצאת סמוך למקום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השוטר מוחמד רדף אחרי הנאשם תוך שהוא צועק לו מספר פעמים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משטרה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הנאשם לא שעה לקריאות השוטר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והמשיך בהימלטות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 להפריע לשוטר כשהוא ממלא תפקידו כחוק או להכשילו בכך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מרדף אשר נמשך לאורך עשרות מטרים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נפל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 מוחמד הודיע לו על מעצרו והתיישב עליו כדי למנוע הימלטותו ועל מנת לאזוק את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הצליח להשתחרר מאחיזת השוטר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 ללכת לכיוון הגדר כשהוא גורר אחריו את השוטר מוחמד אשר הצליח לאחוז בגוף הנאשם בניסיון לעצרו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 מוחמד הצליח להפיל את הנאשם לאחר מספר מטרים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הצליח לקום פעם נוספת והמשיך לגרור את השוטר מוחמד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התכופף והרים אבן גדולה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המאבק עם השוטר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האבן פגעה בכתפו ובידו השמאלית של השוטר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עשה הנאשם בכוונה להפריע לשוטר מוחמד כשהוא ממלא תפקידו כחוק או להכשילו בכך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השוטר מוחמד שלף מכשיר טייזר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וצעק לנאשם כי יניח את האבן או שהוא ישתמש בטייזר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משהנאשם לא שעה לבקשה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ובמטרה למנוע תקיפתו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השוטר מוחמד השתמש בטייזר על גופו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השליך את האבן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וניסה למשוך מהשוטר מוחמד את מכשיר הקשר שברשותו ללא הצלחה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ניסה להימלט פעם נוספת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 מוחמד אחז בכתפו של הנאשם ובמעילו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הנאשם מתנגד ונאבק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המאבק הסיר הנאשם מעל גופו את המעיל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השליך אותו על הרצפה וניסה להימלט מהשוטר מוחמד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עשה הנאשם בכוונה להפריע לשוטר מוחמד כשהוא ממלא תפקידו כחוק או להכשילו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 הגיעו למקום השוטרת סתיו והשוטר אמיר כעביה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שסייעו לשוטר מוחמד בניסיון להשתלט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הנאשם המשיך להתנגד למעצרו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 להפריע לשוטרים כשהם ממלאים תפקידם כחוק או להכשילם בכך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בדיון שהתקיים לפניי ביום </w:t>
      </w:r>
      <w:r>
        <w:rPr>
          <w:rFonts w:cs="David" w:ascii="David" w:hAnsi="David"/>
        </w:rPr>
        <w:t>1.6.2022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נשמעו טיעוני הצדדים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הגישה טיעונים בכתב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הגיש אסופת מסמכים רפואיים אשר נטען כי הם נוגעים למצבו הרפואי של הנאשם ושל אם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במסגרת הראיות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העיד אבי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בטיעוניה 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המאשימה כי הנאשם הורשע בביצוע שלוש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הן חלק מתכנית עבריינית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שמתקיים ביניהן קשר הדוק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יש לקבוע מתחם עונש הולם אחד בגין ביצוע כל העבירות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עמדה על כי תופעת החזקת הנשק הבלתי חוקי הפכה למכת 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החובה להילחם בתופעה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השתת ענישה מחמירה שתעביר מסר תקיף בדבר הסלידה מביצוע עבירות 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עבירות האלימות המבוצעות באמצעות נשק ואשר רבו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נגזרות באופן ישיר מהחזקה של נשק בלתי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הפנתה לפסיקת בית המשפט העליון בדבר מגמת ההחמרה בענישה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הפנתה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הקובע עונש מזערי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אחרון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הדגישה כי התיקון אינו חל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משקף את יחס החברה לעבירות אלו ואת רצון המחוקק להביא להחמרת הענישה בעבירות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קיימות נסיבות מחמירות במעשיו של הנאשם שהחזיק את הנשק בגרב בכיס מעילו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שהאקדח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וכשכל הנסיבות בנוגע לאופן בו הושג הנשק ולשם מה נותרו בערפל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חלקו של הנאשם מוחלט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היו אנשים נוספים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ידוע האם הם היו מודעים להימצאות הנשק והאם הם חלק מן התכנית העבריינית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גם עמדה על הנזק שצפוי היה להיגרם לו היה נעשה 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הפנתה לשורה של פסקי דין על מנת ללמד על מדיניות הענישה הנוהגת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עמדה המאשימה על כי הנאשם נכנס לישראל ושהה בה שלא כחוק ולא לצרכי פרנסה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לשם ביצוע עבירה 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העבירה של הפרעה לשוטר בעת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המאשימה כי מדובר בעבירה שבצידה עונש מזערי של מאסר בן שבועיים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ובענייננו מעשי הנאשם הם ברף הגבוה של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עתרה לקבוע מתחם עונש בטווח של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 לב להודאת הנאשם ולכך שהוא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סבורה כי יש למקם את עונשו בחלק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ובנוסף יש לגזור עליו מאסר מותנה ארוך ומשמעותי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טען בכל הנוגע לעבירת הכניסה לישראל שלא כחוק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 מדובר בשוהה בלתי חוקי קלאסי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אלא כי מקום ביצוע העבירה נמצא ממש בסמוך לגבול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 מהווה נסיבה לקולא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אחד מן השוטרים העיד בעניין מקום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הנאשם שהו אנשים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זהותו של אחד מהם לכל הפחות ידועה למשטרה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אנשים אלו לא נחקרו או אותרו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בנוגע לעבירת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מדובר בנשיאה רגעית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למשך זמן ומרחק קצרים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סבור כי מתחם העונש לו עתרה המאשימה מופרך ואינו מתיישב עם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במרבית מפסקי הדין אליהם הפנתה המאשימה נגזרו עונשים הנעים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המאשימה עתרה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מתחם של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הסנגור הפנה אף הוא לשורה של פסקי דין על מנת ללמד על מדיניות הענישה הנוהגת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טען 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יש להתייחס לנאשם כאל מי שהודה בהזדמנות הראשונה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נחקרו שני שוטרים שלא היו דומיננטיים במעצר הנאשם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עוד נטען כי הנאשם מביע 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נוטל אחריות ומתחייב כי הדברים לא יחזרו על עצמם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ניהל קודם המעשים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אורח חיים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ובכוונתו לפתוח דף חדש בחייו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הנאשם סובל מסכרת נעורים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נוטל טיפול תרופתי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מצבו הרפואי החמיר ואף נפגעה ראייתו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זה הוגשה כאמור אסופת מסמכים רפואיים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אמו של הנאשם סובלת ממספר מחלות וכי היא מרותקת למיטתה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הנוגע למחלת הסכרת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היא השפיעה על התנהגות הנאשם בכל הקשור לנסיבות מעצרו ולהתנהלותו אל מול השוטרים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בשים לב לטענותיו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 הסנגור כי מתחם העונש ההולם 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למקם את עונשו של הנאשם ברף התחתון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המשיך הסנגור 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חוויית המעצר מאוד קשה עבור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לאור מצבו וגם לאור מצבה הבריאותי של 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שלא למצות את הדין עם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דברי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אלו הם דברי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שנרשמו בפרוטוקול הדיון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אני מתנצל על כל מה שקרה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לגבי הסכרת הייתי אמור לעבור ניתוח מזה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ועד היום זה לא 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מתחרט על מה שעשיתי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נמצא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יוצא שעה בבוקר ושעה בערב ומאוד קשה לי במצב הזה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כבר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שלא ראיתי את אמא שלי וזה כשלעצמו עונש כבד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משנקבע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יאתר בית המשפט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יכול לחרוג ממתחם העונש 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הודה בביצוע שלוש עבירות אשר כולן נעברו ברצף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בזו אחר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העבירות שזורות האחת בשנייה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מקיימות ביניהן קשר הדוק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חלק מאותה מסכת עבריינית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עסקינן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בגינו יש לקבוע מתחם עונש הולם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הנטען אף מפי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אשר נפגעו כתוצאה מביצוע העבירות דלעיל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החמורה מבין העבירות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עבירת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בעבירות כגון דא גלומה פגיעה לא מבוטלת בערכים חברתיים ראשונים במעלה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בראשם שמירה על ערך החיים והגנה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בעצם נשיאת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בהיותו טעון במחסנית מתאימה ובתוכה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טמונה סכנה של ממש שמא יארע בו שימוש אשר יגרום לנזק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יכול וייגרם נזק לרכוש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יכול וייגרם נזק חמור מכך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כדי קיפוח חיים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הכרח כי השימוש ייעשה על ידי מי אשר נושא את הנשק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הוא הנאשם העומד לפני בית המשפט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אפשר ויהא זה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בזמן אחר ובמקום 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הנשק היה מוסלק בתוך גרב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 הייתה מצויה בכיס מעילו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בכתב האישום המתוקן והמפורט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כל אזכור לכך שהנאשם הוציא את הנשק או כי נערך ניסיון כלשהו לעשות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לבצע 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העובדות המנויות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המאבק עם השוטר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הסיר מעליו את המעיל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כשבמעיל מצוי כאמור הנשק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השליך אותו על הרצפה וניסה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 להפריע לשוטר במלאכתו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ואם עסקינן בהפרעה לפעילות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שבכתב האישום המתוקן מפורט באריכות כיצד הנאשם ניסה להימלט מידי השוטרים פעם אחר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לאחר מאבק פיזי ושימוש בטייזר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 אשר נדרשה מעורבותם של שלושה שוטרים גם יחד על מנת לעצור את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בעצם ההפרעה לשוטרים מלבצע מלאכתם נאמנה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נפגעו באופן ממשי הסדר הציבורי והיכולת לאכוף את הדין כדבעי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מעשיו אלו של הנאשם בוצעו כשהוא שוהה בישראל בניגוד לדין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בשהייה בלתי חוקית בישראל גלום פוטנציאל לסיכון בטחוני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ופגיעה בשלום הציבור ובטחונו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לא פעם על החומרה שבעבירות הנשק ועל הצורך בהחמרת הענישה כלפי מי שמבצע עבירות 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על כך בפסק הדין שניתן בעת האחרונה 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1695/22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גנאים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29.3.2022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: </w:t>
      </w:r>
      <w:r>
        <w:rPr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ושמאיימות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..."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בהמשך אותה פסקה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>: "</w:t>
      </w:r>
      <w:r>
        <w:rPr>
          <w:b/>
          <w:b/>
          <w:bCs/>
          <w:rtl w:val="true"/>
        </w:rPr>
        <w:t>משכך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אלרון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4439/19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17-16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ביישובי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וביישובים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2018</w:t>
      </w:r>
      <w:r>
        <w:rPr>
          <w:b/>
          <w:bCs/>
          <w:rtl w:val="true"/>
        </w:rPr>
        <w:t>)).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...</w:t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ופציעתם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עמד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בשורה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ארוכה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פסקי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חומרתן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הרבה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הגבוהה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במיוחד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לשלום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הציבור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וביטחונו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הטמונה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בנשיאה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והחזקה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הדבר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חמור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שבעתיים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במציאות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הישראלית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בלתי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עשוי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לשמש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חבלנית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רקע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ביטחוני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עבריינית</w:t>
      </w:r>
      <w:r>
        <w:rPr>
          <w:b/>
          <w:bCs/>
          <w:spacing w:val="10"/>
          <w:rtl w:val="true"/>
        </w:rPr>
        <w:t xml:space="preserve">. </w:t>
      </w:r>
      <w:r>
        <w:rPr>
          <w:spacing w:val="10"/>
          <w:rtl w:val="true"/>
        </w:rPr>
        <w:t xml:space="preserve">... </w:t>
      </w:r>
      <w:r>
        <w:rPr>
          <w:b/>
          <w:b/>
          <w:bCs/>
          <w:spacing w:val="10"/>
          <w:rtl w:val="true"/>
        </w:rPr>
        <w:t>לפיכך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קיימת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בפסיקה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מגמת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החמרה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המעורבים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עונשי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הנשקפת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מהן</w:t>
      </w:r>
      <w:r>
        <w:rPr>
          <w:b/>
          <w:bCs/>
          <w:spacing w:val="10"/>
          <w:rtl w:val="true"/>
        </w:rPr>
        <w:t xml:space="preserve">; </w:t>
      </w:r>
      <w:r>
        <w:rPr>
          <w:b/>
          <w:b/>
          <w:bCs/>
          <w:spacing w:val="10"/>
          <w:rtl w:val="true"/>
        </w:rPr>
        <w:t>וזאת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במטרה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להרתיע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היחיד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והרבים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מפני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ביצוען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ברירת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המחדל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אפוא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מאסר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בפועל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הנאשם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נעדר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פלילי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בית המשפט ליתן דעתו </w:t>
      </w:r>
      <w:r>
        <w:rPr>
          <w:rFonts w:ascii="David" w:hAnsi="David"/>
          <w:b/>
          <w:b/>
          <w:bCs/>
          <w:rtl w:val="true"/>
        </w:rPr>
        <w:t>למדיניות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הנוגע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וכמצוין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הדגישה את הצורך בהשתת ענישה מחמירה ומרתיעה כלפי מבצעי 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שמנעד הענישה רחב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אחד מן הצדדים הפנה לשורה של פסקי דין בנוגע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יש בהם לטענתו לתמוך בעמדתו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להלן לסקירה המבטאת את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ממנה יש להקיש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בין היתר על יסודה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ייקבע מתחם העונש ההולם במקרה 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בסקירה זו אכלול התייחסות לחלק מפסקי הדין אליהם הפנו באי כוח הצדדים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זרבאילוב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6.12.2021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22.11.2020</w:t>
      </w:r>
      <w:r>
        <w:rPr>
          <w:rtl w:val="true"/>
        </w:rPr>
        <w:t xml:space="preserve">) -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)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 xml:space="preserve">) -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),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 xml:space="preserve">) -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26549-09-21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12.4.2022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FN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45561-07-21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טחימר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17.3.2022</w:t>
      </w:r>
      <w:r>
        <w:rPr>
          <w:rtl w:val="true"/>
        </w:rPr>
        <w:t xml:space="preserve">) -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D.D.G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43009-08-20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21.11.2021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FN</w:t>
      </w:r>
      <w:r>
        <w:rPr>
          <w:sz w:val="22"/>
          <w:szCs w:val="22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9396-03-21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דוידוב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5.10.2021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הובלה</w:t>
      </w:r>
      <w:r>
        <w:rPr>
          <w:rtl w:val="true"/>
        </w:rPr>
        <w:t xml:space="preserve">) -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משתמה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אעבור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. </w:t>
      </w:r>
      <w:r>
        <w:rPr>
          <w:rtl w:val="true"/>
        </w:rPr>
        <w:t>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אזכור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ברמז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tl w:val="true"/>
        </w:rPr>
        <w:t xml:space="preserve">, </w:t>
      </w:r>
      <w:r>
        <w:rPr>
          <w:rtl w:val="true"/>
        </w:rPr>
        <w:t>שאחרונת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מידיהם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יעצור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הרהיב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האבן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בטייזר</w:t>
      </w:r>
      <w:r>
        <w:rPr>
          <w:rtl w:val="true"/>
        </w:rPr>
        <w:t xml:space="preserve">,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בטייזר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ומוסיפה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ואינו מצדיק אף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להלן לקבוע את העונש המתאים לנאשם בגבולות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26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העונש המתאים לנאשם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משקל נכבד בהקשר זה יש ליתן להודאתו של הנאשם במיוחס לו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ההודאה באה אמנם רק לאחר שהחל שלב הראיות במשפטו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הדבר ארע בתחילתו של 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ישיבת הוכחות אחת במהלכה העידו שני עדי 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נחסך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נתתי דעתי אף לדברי החרטה של הנאשם אשר התרשמתי מאמיתותם ומכנותם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ולקולא יש להביא בחשבון את גילו הצעיר באופן יחסי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בעת ביצוע המעשים מושא ענייננו היה 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העובדה כי לא רשומות לחובתו הרשעות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זוהי למעשה הסתבכותו הראשונה עם 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משקל לא מבוטל יש ליתן גם למצבו הרפואי של הנאשם אשר כפי טענתו סובל מסכרת נעורים אשר אף פגעה בראייתו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ואשר תיעוד רפואי בדבר המצב הרפואי הונח לפניי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האזנתי לדברי אבי הנאשם כי הוא גידל וחינך את ילדיו ללכת בדרך הישר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לפגוע באחר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 נגד מדינת ישראל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כי הנאשם לעיתים אינו שולט בעצמו מחמת תחלואיו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לבקשת האב לנהוג בנאשם בחמלה ולאפשר גם לאם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הסובלת ממחלת הפרקינסון והמרותקת לכסא גלגלים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לראות את הנאשם מחוץ לכתלי בית הסוהר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צבר זה של שיקולים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העובדה כי הנשק נתפס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כפי עדות השוטרים לפניי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 בו להטות את הכף עד כדי העמדת עונשו של הנאשם סמוך מאוד לרף התחתון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באמצעות ענישה של מאסר מאחורי סורג ובריח למשך מספר מאוד משמעותי של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מותנה הצופה פני עתיד וקנס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יוגשם 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ובד בבד תושג הרתעת הרבים והרתעתו של הנאשם לבל ישוב לסורו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כולי תקווה כי בתום ריצוי מאסרו ישוב הנאשם אל דרך הישר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שהעיד אביו כי חינך את ילדיו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שמונה עשר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יימנו החל ממעצרו ביום </w:t>
      </w:r>
      <w:r>
        <w:rPr>
          <w:rFonts w:cs="David" w:ascii="David" w:hAnsi="David"/>
          <w:b/>
          <w:bCs/>
        </w:rPr>
        <w:t>26.11.2021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שניים עשר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כל עבירת נשק או אלימות מסוג פשע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שישה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כל עבירת נשק או אלימות מסוג עוון או עבירה של הפרעה לשוטר במילוי תפקידו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שלושה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עבירה של כניסה לישראל בניגוד ל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קנס בסך של </w:t>
      </w:r>
      <w:r>
        <w:rPr>
          <w:rFonts w:cs="David" w:ascii="David" w:hAnsi="David"/>
          <w:b/>
          <w:bCs/>
        </w:rPr>
        <w:t>2,500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 xml:space="preserve">אשר ישולם תוך </w:t>
      </w:r>
      <w:r>
        <w:rPr>
          <w:rFonts w:cs="David" w:ascii="David" w:hAnsi="David"/>
          <w:b/>
          <w:bCs/>
        </w:rPr>
        <w:t>120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>אשר לאופן תשלום הקנס שנפסק לחובת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 שנקבע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יהיה לשלם את הקנס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28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lang w:val="en-IL" w:eastAsia="en-IL"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108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color w:val="FFFFFF"/>
          <w:sz w:val="2"/>
          <w:szCs w:val="2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  <w:lang w:val="en-IL" w:eastAsia="en-IL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  <w:lang w:val="en-IL" w:eastAsia="en-IL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IL" w:eastAsia="en-IL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/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19130-12-21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90721" TargetMode="External"/><Relationship Id="rId7" Type="http://schemas.openxmlformats.org/officeDocument/2006/relationships/hyperlink" Target="http://www.nevo.co.il/law/90721/12.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90721/12.1" TargetMode="External"/><Relationship Id="rId12" Type="http://schemas.openxmlformats.org/officeDocument/2006/relationships/hyperlink" Target="http://www.nevo.co.il/law/90721" TargetMode="External"/><Relationship Id="rId13" Type="http://schemas.openxmlformats.org/officeDocument/2006/relationships/hyperlink" Target="http://www.nevo.co.il/case/28384637" TargetMode="External"/><Relationship Id="rId14" Type="http://schemas.openxmlformats.org/officeDocument/2006/relationships/hyperlink" Target="http://www.nevo.co.il/case/25824897" TargetMode="External"/><Relationship Id="rId15" Type="http://schemas.openxmlformats.org/officeDocument/2006/relationships/hyperlink" Target="http://www.nevo.co.il/case/25612982" TargetMode="External"/><Relationship Id="rId16" Type="http://schemas.openxmlformats.org/officeDocument/2006/relationships/hyperlink" Target="http://www.nevo.co.il/case/27716369" TargetMode="External"/><Relationship Id="rId17" Type="http://schemas.openxmlformats.org/officeDocument/2006/relationships/hyperlink" Target="http://www.nevo.co.il/case/26383419" TargetMode="External"/><Relationship Id="rId18" Type="http://schemas.openxmlformats.org/officeDocument/2006/relationships/hyperlink" Target="http://www.nevo.co.il/case/27087184" TargetMode="External"/><Relationship Id="rId19" Type="http://schemas.openxmlformats.org/officeDocument/2006/relationships/hyperlink" Target="http://www.nevo.co.il/case/26888657" TargetMode="External"/><Relationship Id="rId20" Type="http://schemas.openxmlformats.org/officeDocument/2006/relationships/hyperlink" Target="http://www.nevo.co.il/case/22006503" TargetMode="External"/><Relationship Id="rId21" Type="http://schemas.openxmlformats.org/officeDocument/2006/relationships/hyperlink" Target="http://www.nevo.co.il/case/21474168" TargetMode="External"/><Relationship Id="rId22" Type="http://schemas.openxmlformats.org/officeDocument/2006/relationships/hyperlink" Target="http://www.nevo.co.il/case/28010048" TargetMode="External"/><Relationship Id="rId23" Type="http://schemas.openxmlformats.org/officeDocument/2006/relationships/hyperlink" Target="http://www.nevo.co.il/case/27802038" TargetMode="External"/><Relationship Id="rId24" Type="http://schemas.openxmlformats.org/officeDocument/2006/relationships/hyperlink" Target="http://www.nevo.co.il/case/26939409" TargetMode="External"/><Relationship Id="rId25" Type="http://schemas.openxmlformats.org/officeDocument/2006/relationships/hyperlink" Target="http://www.nevo.co.il/case/27447722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law/90721" TargetMode="External"/><Relationship Id="rId28" Type="http://schemas.openxmlformats.org/officeDocument/2006/relationships/hyperlink" Target="http://www.eca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2023-09-28T10:43:00Z</dcterms:created>
  <dc:creator> </dc:creator>
  <dc:description/>
  <cp:keywords/>
  <dc:language>en-IL</dc:language>
  <cp:lastModifiedBy>h1</cp:lastModifiedBy>
  <dcterms:modified xsi:type="dcterms:W3CDTF">2023-09-28T10:43:00Z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28384637;25824897;25612982;27716369;26383419;27087184;26888657;22006503;21474168;28010048;27802038;26939409;27447722</vt:lpwstr>
  </property>
  <property fmtid="{D5CDD505-2E9C-101B-9397-08002B2CF9AE}" pid="9" name="CITY">
    <vt:lpwstr>חי'</vt:lpwstr>
  </property>
  <property fmtid="{D5CDD505-2E9C-101B-9397-08002B2CF9AE}" pid="10" name="DATE">
    <vt:lpwstr>20220713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70301/144.b;275;40ja</vt:lpwstr>
  </property>
  <property fmtid="{D5CDD505-2E9C-101B-9397-08002B2CF9AE}" pid="15" name="LAWLISTTMP2">
    <vt:lpwstr>90721/012.1</vt:lpwstr>
  </property>
  <property fmtid="{D5CDD505-2E9C-101B-9397-08002B2CF9AE}" pid="16" name="LAWYER">
    <vt:lpwstr>יוסף שלבי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19130</vt:lpwstr>
  </property>
  <property fmtid="{D5CDD505-2E9C-101B-9397-08002B2CF9AE}" pid="23" name="NEWPARTB">
    <vt:lpwstr>12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390020220713</vt:lpwstr>
  </property>
  <property fmtid="{D5CDD505-2E9C-101B-9397-08002B2CF9AE}" pid="35" name="TYPE_N_DATE">
    <vt:lpwstr>39020220713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