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19235-03-13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גרשר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790"/>
        <w:gridCol w:w="2634"/>
        <w:gridCol w:w="81"/>
      </w:tblGrid>
      <w:tr>
        <w:trPr>
          <w:trHeight w:val="337" w:hRule="atLeast"/>
        </w:trPr>
        <w:tc>
          <w:tcPr>
            <w:tcW w:w="60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יניאנו</w:t>
            </w:r>
          </w:p>
        </w:tc>
        <w:tc>
          <w:tcPr>
            <w:tcW w:w="2634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אלכסנדר גרשר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לידור ברחנין 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#1#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Style w:val="LineNumber"/>
          <w:rFonts w:ascii="Arial" w:hAnsi="Arial" w:cs="Arial"/>
          <w:b w:val="false"/>
          <w:bCs w:val="false"/>
          <w:sz w:val="6"/>
          <w:szCs w:val="6"/>
          <w:u w:val="non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  <w:u w:val="none"/>
        </w:rPr>
      </w:pPr>
      <w:r>
        <w:rPr>
          <w:b/>
          <w:bCs/>
          <w:sz w:val="6"/>
          <w:szCs w:val="6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8" w:name="LastJudge"/>
      <w:bookmarkStart w:id="9" w:name="PsakDin"/>
      <w:bookmarkStart w:id="10" w:name="LastJudge"/>
      <w:bookmarkStart w:id="11" w:name="PsakDin"/>
      <w:bookmarkEnd w:id="10"/>
      <w:bookmarkEnd w:id="11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טיעון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והורשעו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אוחז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האישומים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 מיוחסים לשני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האישומים השלישי 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מיוחסים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הסדר הטיעון לא כלל הסכמה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הודיעה שתעתור 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לעשר שנות מאסר כעונש ראוי מיום מעצרו ולהפעיל במצטבר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והסניגור יטען באופן חופשי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הוסכם שהטיעון יהיה פתוח לגבי יתר רכיבי הענישה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וקנס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הוסכם שבעניינו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יתקבל תסקיר שירות המבחן והטיעון לעונש יהיה פתוח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כתב 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bookmarkStart w:id="14" w:name="ABSTRACT_START"/>
      <w:bookmarkEnd w:id="14"/>
      <w:r>
        <w:rPr>
          <w:rFonts w:ascii="Arial" w:hAnsi="Arial" w:cs="Arial"/>
          <w:rtl w:val="true"/>
        </w:rPr>
        <w:t>על פי האמור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אוקטובר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אלכסנדר אורזלין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שבליק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שבליק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לבצע מעשי שוד מזוינים בסניפי בנק ודואר בעיר רחובות ובסביבותיה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שבליק תכנן את מעשי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 את המקומות שישדדו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על חלוקת התפקידים בין השותפים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סיפק את כלי הנשק ובחלק מן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אבטח את השודדים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נמצא בסמוך לזירת השוד או 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מסייע בהימלטות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מקרי השוד שיפורטו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המבצע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נכנס לסניפי הבנק והדואר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חבוש בקסדה ועוטה כפפות ושדד באיומי אקדח אלפי שקלים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התחלקו שווה בשווה בין השותפים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באישומים המשותפים לשני הנאשמים תפקידו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בביצוע עבודות 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הסעתו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מילוטו מזירת האירוע וסיוע בהסתרת הציוד ששימש לשוד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הראשון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המיוחס לשני הנאשמים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26.11.12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עם שבליק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לבצע שוד מזוין בחבורה בסניף דואר בקריית עקרון ולהעלים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27.11.12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הנאשמים לסניף הדואר כשהם רכובים על גבי קטנוע ומצוידים בתיק גב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המתין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מחוץ לסניף הדואר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לסניף הדואר כשהוא מזויין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חובש קסדה ומצויד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ושדד באיומי אקדח את הכסף שהיה בקופות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נמלטו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לפרדס סמוך כשהם נושאים עמם את שלל השוד בסך </w:t>
      </w:r>
      <w:r>
        <w:rPr>
          <w:rFonts w:cs="Arial" w:ascii="Arial" w:hAnsi="Arial"/>
        </w:rPr>
        <w:t>15,940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שם החביאו את הקטנוע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הקסדות והתיק והלכו רגלית לביתו של שבליק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חלקו את השלל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השני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המיוחס לשני הנאשמים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4.12.12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 עם שבליק ואלירן לבצע שוד מזוין בחבורה בסניף בנק פאג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ברחובות ולהעלים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4.12.12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כפעולת הכנה לביצוע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הקושרים ברכב לסניף הבנק ואלירן נכנס לבנק ופרט בו כסף וזאת לצורך בדיקת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האבטחה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בבנק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ומיפוי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המקום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הצטייד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באקדח שקיבל משבליק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כפפות ותיק גב והגיע ביחד עם אלירן בקטנוע לסניף הבנק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שבליק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לבנק במכונית מזדה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שבליק תצפת לעבר הקטנוע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המתין ברכב בנקודת המפגש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לבנק יחד עם אלירן ובאיומי אקדח דרש מפקיד הבנק לשים את הכסף בתיק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הפקיד המפוחד הכניס לתיק סך </w:t>
      </w:r>
      <w:r>
        <w:rPr>
          <w:rFonts w:cs="Arial" w:ascii="Arial" w:hAnsi="Arial"/>
        </w:rPr>
        <w:t>12,670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והשניים נמלטו למקום בו המתין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הצטרף לרכב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ואלירן המשיך בנסיעה בקטנוע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נסעו למושב סתריה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החביאו את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הקסדות והאקדח ומאוחר יותר חילקו ביניהם את השלל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אסף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הציוד מהמחבוא ודיווח על כך לשבליק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קשרו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אלירן ויהודה קשר לשדוד סניף דואר בשכונת שרונה ברחובות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סניף הדואר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ולהעלים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התוכנית נקבע שאלירן ויהודה יבצעו את השוד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ימתין בחוץ לצורך אבטחה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17.12.12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ואלירן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לסניף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בשל המצאותם של אנשים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עזבו את המקום והוחלט בביתו של שבליק שהם יבצעו את השוד ביום למחרת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18.12.12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 עם אלירן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לסניף הדואר כשהוא מצויד באקדח שקיבל משבליק ובאיומי אקדח לעבר הפקידה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חובש קסדה ועוטה כפפות הורה לה לרוקן את הכסף שבקופות לתוך התיק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הפקידה רוקנה את הכסף מהקופות והכניסה לתיק שהחזיק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</w:t>
      </w:r>
      <w:r>
        <w:rPr>
          <w:rFonts w:cs="Arial" w:ascii="Arial" w:hAnsi="Arial"/>
        </w:rPr>
        <w:t>12,640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 מהמקום ביחד עם אלירן וחבר לרכב מילוט שהמתין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הרביעי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 עם שבליק ואלירן לבצע שוד מזוין בחבורה בסניף בנק לאומי במזכרת בתיה ולהעלים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בדיקת האבטחה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בסניף הבנק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ביקרו הקושרים במקום עובר לביצוע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משבליק אקדח וביום </w:t>
      </w:r>
      <w:r>
        <w:rPr>
          <w:rFonts w:cs="Arial" w:ascii="Arial" w:hAnsi="Arial"/>
        </w:rPr>
        <w:t>31.12.12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ואלירן לסניף הבנק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רכובים על גבי קטנוע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לסניף הבנק כשהוא מצויד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כפפות ותיק גב ובאיומי אקדח לעבר הפקידה שדד סך </w:t>
      </w:r>
      <w:r>
        <w:rPr>
          <w:rFonts w:cs="Arial" w:ascii="Arial" w:hAnsi="Arial"/>
        </w:rPr>
        <w:t>2260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ונמלט עם אלירן מזירת האירוע כשהם רכובים על גבי קטנוע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החמישי</w:t>
      </w:r>
      <w:r>
        <w:rPr>
          <w:rFonts w:ascii="Arial" w:hAnsi="Arial" w:cs="Arial"/>
          <w:rtl w:val="true"/>
        </w:rPr>
        <w:t xml:space="preserve">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 אלירן כהן לחקירה בחשד למעורבות בארבעת מקרי השוד המתוארים באישומים ראשון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רביעי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בעקבות כך נמלט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יהודה למקום מסתור בבאר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שהייתו בבאר שבע ובהנחיית שבליק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אחר סניף בנק שיוכל לשמש כיעד לביצוע שוד ואיתר את סניף בנק לאומי בשכונת נווה זאב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 עם שבליק ואחרים נסעו לבחון את התאמתו של הבנק לביצוע השוד ומשמצאו אותו מתאים החליטו לבצע שוד מזוין בחבורה בבנק ולהעלים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משבליק אקדח וביחד עם אחר הצטיידו בקטנוע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כפפות ותיק גב לצורך ביצוע השוד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 עם אחר לסניף הבנק ובאיומי אקדח לעבר הפקידה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עוטה קסדה ולובש כפפות שדד סך </w:t>
      </w:r>
      <w:r>
        <w:rPr>
          <w:rFonts w:cs="Arial" w:ascii="Arial" w:hAnsi="Arial"/>
        </w:rPr>
        <w:t>4970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 מהמקום עם האחר כשהם רכובים על קטנוע לנקודת מפגש שנקבעה מראש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 xml:space="preserve">האישום השישי </w:t>
      </w:r>
      <w:r>
        <w:rPr>
          <w:rFonts w:ascii="Arial" w:hAnsi="Arial" w:cs="Arial"/>
          <w:rtl w:val="true"/>
        </w:rPr>
        <w:t xml:space="preserve"> 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קשר עם שבליק ואחרים לבצע שוד מזויין בחבורה בסניף הדואר בכפר גבירול ברחובות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סוכם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יכנס לסניף הדואר וייבצע את השוד והאחרים ימתינו לו לשם מילוט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משבליק אקדח והצטייד בקסדה וכפפות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נקבע שהשוד יבוצע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משום שבתאריך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מופקדים בסניף סכומי כסף גדולים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שנקבע הוסע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לסניף הדואר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נכנס למקום כשהוא חובש קסדה ובאיומי אקדח לעבר הפקידה זרק לפקידה שקית ניילון שחורה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את האקדח ודרש את הכסף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הפקידה המפוחדת עשתה כדבריו והכניסה לשקית סך </w:t>
      </w:r>
      <w:r>
        <w:rPr>
          <w:rFonts w:cs="Arial" w:ascii="Arial" w:hAnsi="Arial"/>
        </w:rPr>
        <w:t>5350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 מהמקום וחבר לאחר שהמתין לו ומשם נסעו לנקודת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המתין להם רכב לצורך הימלטות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זרק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הבגדים שלבש והסתיר את הקסדה והאקדח עד שהוצאו ממקום המחבוא על ידי קושר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כך הורשע 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שוד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מזוין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עבירה של ניסיון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שוד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קשירת 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לפשע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שיבוש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מהלכי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משפט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שינוי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,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,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,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419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ascii="Arial" w:hAnsi="Arial" w:cs="Arial"/>
          <w:rtl w:val="true"/>
        </w:rPr>
        <w:t xml:space="preserve">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סיוע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קשירת 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ושתי עבירות של שיבוש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מהלכי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, 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,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 xml:space="preserve">,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ascii="Arial" w:hAnsi="Arial" w:cs="Arial"/>
          <w:rtl w:val="true"/>
        </w:rPr>
        <w:t xml:space="preserve">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תסקיר שירות המבחן בעניינו של 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מוכר לשירות המבחן מחקירת המעצר ופיקוח 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הוא נתון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שוהה מאז 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בתנאים מגבילים ואיזוק אלקטרוני בחלופת מעצר בבית אמו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כעולה מהתסקיר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חווה משבר רגשי בהיותו בן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גירושי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שבא לידי ביטוי בהיעדר יכולת להשקיע בלימודים ובעיות התנהגות על רקע של הפרעת קשב וריכוז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קשר עם אביו על רקע היותו של האב מכור להימורים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מתאר קשר משמעותי עם אמו ואחיו ודינמיקה המשפחתית מאופיינת בקרבה רגשית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בתיכון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אורט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ביבנה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התגייס לצה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ועל אף בעיות משמעת וקושי עם גורמי סמכות השלים שירות צבאי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ריצה מספר חודשי מאסר בכלא צבאי בשל היעדרות משירות 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שחרורו עבד באופן לא יציב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הציג מכתב המלצה ממעסיק אצלו הועסק הנאשם בעבר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מהמכתב עולה כי הנאשם הוערך כעובד אמין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מיומן וחרוץ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בחקירת המעצר התרשמה קצינת המבחן שמדובר בבחור בעל כוחות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שניהל בשנים האחרונות אורח חיים בלתי יציב וקיים קשרים חברתיים במסגרתם נחשף לנורמות התנהגות פליליות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להערכתה הליך המעצר היה בעל השפעה מרתיעה ומציבת גבולות ורתם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להליך התבוננות ביקורתי על אורח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להערכה זו הומלץ על שחרורו לחלופת מעצר בבית אמו באיזוק אלקטרוני והוטל עליו פיקוח מעצר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פיקוח המעצר שולב בקבוצה לעצורי בית בשירות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אולם לאחר שגם שותפו לעבירה שולב באותה קבוצה והתקבל הרושם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 מאוים ואינו יכול להיתרם במצב זה מההליך הטיפולי הוחלט כי במסגרת פיקוח המעצר יגיע למפגשים פרטניים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ההתרשמות הייתה שהוא נמצא בשלב טיפולי ראשוני והוא ביטא יכולת התחלתית לבחון דפוסי 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 הפיקוח הסתיים בחודש 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ההליך הנוכחי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 ביצוען של העבירות בניהול קשרים שוליים ולרווחים אותם חווה מקשרים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שחבר לקבוצה שניהלה אורח חיים שולי עם זאת לא היה שותף לתכנון העבירות ושימש נהג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שברקע התנהלותו 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ביטחון וקושי להציב גבולות למרות המודעות שהייתה לו בזמן אמת להתדרדרות והעמקת המעורבות העבריינית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התרשמה כי הנאשם נוטה להפחית ממידת אחריותו לביצוע העבירות והתקשה לבחון את האלמנטים האלימים בביצוע העבירה וסיכון חיי אדם כפי שנשקף מהשימוש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גם השימוש שעושה במנגנונים של רציונליזציה להסביר את תפקידו כנהג כתפקיד משני המפחית מחומרת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העריכה כי הנאשם ביצע את העבירות בשלב בלתי מגובש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מציינת כי הנאשם ער כיום לחומרת מעשיו ולמחירים האישיים אותם הוא משלם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ביטא מוטיבציה לבחון באופן ביקורתי דפוסי 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בביצוע העבירות וההסלמה בהתנהלותו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מתמודד עם תחושת פחד נוכח האיום שחש לחייו לנוכח העובדה שחשף אחרים והביא למעצרם ובנוסף מתמודד גם עם ביקורת שלילית מצד בני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הנסיבות העריכה קצינת המבחן שהסיכון לביצוע עבירת אלימות בעתיד הינו נמוך וחומרתה העתידית של עבירת אלימות במידה ותתבצע היא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להערכתה של קצינת המבחן העובדה שהנאשם לא היה מעורב בעבר באירועים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להתבונן באופן בקורתי על מעורבותו השולית ושיתוף הפעולה עם שירות המבחן לצורך בחינת דפוסי התנהלותו תקטין את הסיכון להישנות העבירה בעתיד ותגדיל את הסיכוי לשיקום השתלבותו בחברה בצורה נורמטיבית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המליצה קצינת המבחן על העמדתו של הנאשם במבחן למשך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שילובו בתחום התעסוקתי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עונש מאסר שירוצה בעבודות שירות ופיצוי נפגעי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ראיות לעונש של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הראיות לעונש 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הראיות והמסמכים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גיליון הרישום הפלילי ועותק מגזר הדין במסגרתו הוטל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בעברו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בין השנים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הרשעתו הראשונה הייתה בעבירות רכוש הקשורה לרכב ובעבירה של החזקת 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הרשעתו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 שלא כדין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בעבירות 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בעבירות איומים וגניבה והרשעה נוספת בעבירות של איומים והסגת גבול 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נשא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עונשי 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שוחרר ממאסרו האחרון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28.10.2012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פרוטוקולים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 ועדות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שחרורים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מההחלטות שהוצגו לעיוני עולה שהתבטאויותיו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 הוועדה להשתלב בטיפול הינן מילוליות בלבד וגורמים מקצועיים התרשמו כי הוא בעל נורמות עברייניות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שלושה תצהירים של נפגעי עבירה המתייחסים לאישומים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השלישי והחמישי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שלושת המצהירים עבדו בסניפי הדואר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בנק שנשדדו והם מתארים את רגעי האימה והפחד שתקפו אותם כאשר מצאו עצמם מול אקדח שלוף ורעול פנים המאיים על חייהם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בשלושת התצהירים חוזרת הטענה של תחושת חרדה שמלווה אותם עד היום והצורך בטיפול פסיכולוגי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מכתב סליחה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9.11.11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שכתב הנאשם לשופט שדן בעניינו בתיק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לא להחמיר בעונשו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הראיות לעונש 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תצהיר נפגע 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ראיות לעונש מטעם הנאשמים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זימן לעדות את רפ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 חיים שרייבהנד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ראש צוות החקירה ורס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גדי אביוב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חוקר מצוות החקירה שחקר את אירועי השוד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 שרייבהנד העיד כי לאחר מעצרו שהה הנאשם בתא עם מדובב ולאחר שנאספו נגדו ראיות מפלילות והוצגו בפניו הראיות והממצאים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שחזור שעשה אלירן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שותף אחר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הוא הודה במיוחס 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בחקירה חמישית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שיחזר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 באופן מלא ומסר עדויות כנגד המעורבים האחרים שזהותם כבר הייתה ידועה לחוקרים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מהמעורבים האחרים הוא שבליק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זוגה של אחות הנאשם ולהם ילד משותף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הסביר את שיתוף הפעולה שלו ברצונו לפתוח דרך חדשה בחיים ולעשות שינוי בחייו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גדי אביוב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החוקר שליווה את חקירת הפרשה מראשיתה ותפקידו התמקד בחקירתו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מעדותו עולה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נחקר ארוכות והכחיש מעורבותו במיוחס לו במהלך חקירותיו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בחקירה החמישית שגם בתחילתה לא הודה ולאחר שהוצגו בפניו הפרטים שחשף בפני המדובב ובוצע עימות עם המדובב הוא הודה ומסר עדות מפורטת ומלאה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פרטים מוכמנים והפללת שותפיו ובסיומה התקיים עמו שחזור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העד ציין שעדותו הייתה מלאה ומפורטת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סייעה לחקירה בכללותה והקלה על החוקרים למרות שאירועים פוצחו גם ללא עדותו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לדברי העד גם ללא עדותו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השותפים היו נעצרים ודי היה בחומר הראיות שגובש עד אז כדי להגיש נגדם כתבי 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העד ציין כי הנאשם לא ביקש דבר בתמורה אולם הביע דאגה מה יקרה כשהדבר ייחשף בפני אחרים והסביר שמבחינתו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 המעשה אינה פשוטה בהיותו עבריין וזה לא דבר של מה בכך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אמו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זומנה כעדת אופי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שוהה תחת פיקוחה בחלופת מעצר בביתה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סיפרה על האכזבה ממעשיו והקושי של המשפחה להתמודד עם האירועים וביקשה את רחמי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מבין היום את משמעות המעשים וחומרתם ומתחרט עליהם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 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המאשימה לעונש לגבי נאשם </w:t>
      </w:r>
      <w:r>
        <w:rPr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הטעונים לעונש נשמעו</w:t>
      </w:r>
      <w:r>
        <w:rPr>
          <w:rtl w:val="true"/>
        </w:rPr>
        <w:t xml:space="preserve"> </w:t>
      </w:r>
      <w:r>
        <w:rPr>
          <w:rtl w:val="true"/>
        </w:rPr>
        <w:t>בנפרד לגבי כל אחד מהנאשמים</w:t>
      </w:r>
      <w:r>
        <w:rPr>
          <w:rtl w:val="true"/>
        </w:rPr>
        <w:t>. (</w:t>
      </w:r>
      <w:r>
        <w:rPr>
          <w:rtl w:val="true"/>
        </w:rPr>
        <w:t xml:space="preserve">הטיעונים לגבי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נשמעו בישיבה היום </w:t>
      </w:r>
      <w:r>
        <w:rPr/>
        <w:t>16.2.14</w:t>
      </w:r>
      <w:r>
        <w:rPr>
          <w:rtl w:val="true"/>
        </w:rPr>
        <w:t xml:space="preserve"> </w:t>
      </w:r>
      <w:r>
        <w:rPr>
          <w:rtl w:val="true"/>
        </w:rPr>
        <w:t xml:space="preserve">ולגבי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בישיבה ביום </w:t>
      </w:r>
      <w:r>
        <w:rPr/>
        <w:t>20.3.14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אתייחס לטיעונים הכלליים לגבי שני הנאשמים ובהמשך לטיעונים הספציפיים לגבי כל אחד 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בטיעוניה לחומרתן של העבירות שבוצעו על ידי כל אחד מהנאשמים והפגיעה הקשה ברכוש המתלוננים ובשלום הציבור והנזק הנפשי הנלווה לכך כפי שהדבר בא לידי ביטוי בתצהירי נפגעי העבירה</w:t>
      </w:r>
      <w:r>
        <w:rPr>
          <w:rtl w:val="true"/>
        </w:rPr>
        <w:t xml:space="preserve">. </w:t>
      </w:r>
      <w:r>
        <w:rPr>
          <w:rtl w:val="true"/>
        </w:rPr>
        <w:t>לחומרה תוך שימוש בנשק</w:t>
      </w:r>
      <w:r>
        <w:rPr>
          <w:rtl w:val="true"/>
        </w:rPr>
        <w:t xml:space="preserve">, </w:t>
      </w:r>
      <w:r>
        <w:rPr>
          <w:rtl w:val="true"/>
        </w:rPr>
        <w:t>שקדם לו תכנון מוקפד והצטיידות בנשק</w:t>
      </w:r>
      <w:r>
        <w:rPr>
          <w:rtl w:val="true"/>
        </w:rPr>
        <w:t xml:space="preserve">,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קסדות</w:t>
      </w:r>
      <w:r>
        <w:rPr>
          <w:rtl w:val="true"/>
        </w:rPr>
        <w:t xml:space="preserve">, </w:t>
      </w:r>
      <w:r>
        <w:rPr>
          <w:rtl w:val="true"/>
        </w:rPr>
        <w:t>שק לאסוף כסף</w:t>
      </w:r>
      <w:r>
        <w:rPr>
          <w:rtl w:val="true"/>
        </w:rPr>
        <w:t xml:space="preserve">, </w:t>
      </w:r>
      <w:r>
        <w:rPr>
          <w:rtl w:val="true"/>
        </w:rPr>
        <w:t>חלוקת תפקידים בין השותפים</w:t>
      </w:r>
      <w:r>
        <w:rPr>
          <w:rtl w:val="true"/>
        </w:rPr>
        <w:t xml:space="preserve">. </w:t>
      </w:r>
      <w:r>
        <w:rPr>
          <w:rtl w:val="true"/>
        </w:rPr>
        <w:t>הכסף שנשדד לא הוחזר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 xml:space="preserve">בהתייחסה לנאשם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היא ציינה שחלקו של הנאשם היה דומיננטי</w:t>
      </w:r>
      <w:r>
        <w:rPr>
          <w:rtl w:val="true"/>
        </w:rPr>
        <w:t xml:space="preserve">, </w:t>
      </w:r>
      <w:r>
        <w:rPr>
          <w:rtl w:val="true"/>
        </w:rPr>
        <w:t>הנאשם שוחרר ממאסר קודם ב</w:t>
      </w:r>
      <w:r>
        <w:rPr>
          <w:rtl w:val="true"/>
        </w:rPr>
        <w:t>-</w:t>
      </w:r>
      <w:r>
        <w:rPr/>
        <w:t>28.10.12</w:t>
      </w:r>
      <w:r>
        <w:rPr>
          <w:rtl w:val="true"/>
        </w:rPr>
        <w:t xml:space="preserve"> </w:t>
      </w:r>
      <w:r>
        <w:rPr>
          <w:rtl w:val="true"/>
        </w:rPr>
        <w:t>ולא חלף חודש והוא חזר לסורו ומבצע את השוד הראשון ב</w:t>
      </w:r>
      <w:r>
        <w:rPr>
          <w:rtl w:val="true"/>
        </w:rPr>
        <w:t>-</w:t>
      </w:r>
      <w:r>
        <w:rPr/>
        <w:t>26.11.12</w:t>
      </w:r>
      <w:r>
        <w:rPr>
          <w:rtl w:val="true"/>
        </w:rPr>
        <w:t xml:space="preserve">. </w:t>
      </w:r>
      <w:r>
        <w:rPr>
          <w:rtl w:val="true"/>
        </w:rPr>
        <w:t xml:space="preserve">עוד ציינה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מבצע בפועל של כל אירועי השוד נושא כתב האישום כאשר בכל האירועים הנאשם היה מזויין בנשק שסופק לו על ידי שבליק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את כל מקרי השוד באיומי אקדח</w:t>
      </w:r>
      <w:r>
        <w:rPr>
          <w:rtl w:val="true"/>
        </w:rPr>
        <w:t xml:space="preserve">, </w:t>
      </w:r>
      <w:r>
        <w:rPr>
          <w:rtl w:val="true"/>
        </w:rPr>
        <w:t>כאשר מחוץ למקום האירוע המתין לו נהג מילוט שהבריח אותו מזירת האירוע למקום המפגש שנקבע מראש</w:t>
      </w:r>
      <w:r>
        <w:rPr>
          <w:rtl w:val="true"/>
        </w:rPr>
        <w:t xml:space="preserve">. </w:t>
      </w:r>
      <w:r>
        <w:rPr>
          <w:rtl w:val="true"/>
        </w:rPr>
        <w:t>ועוד לחומרה</w:t>
      </w:r>
      <w:r>
        <w:rPr>
          <w:rtl w:val="true"/>
        </w:rPr>
        <w:t xml:space="preserve">, </w:t>
      </w:r>
      <w:r>
        <w:rPr>
          <w:rtl w:val="true"/>
        </w:rPr>
        <w:t>ריבויין של העבירות וסמיכות הזמנים בין אירוע לאירוע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האישומים השני והשלישי בוצעו יום אחרי יום</w:t>
      </w:r>
      <w:r>
        <w:rPr>
          <w:rtl w:val="true"/>
        </w:rPr>
        <w:t xml:space="preserve">. </w:t>
      </w:r>
      <w:r>
        <w:rPr>
          <w:rtl w:val="true"/>
        </w:rPr>
        <w:t xml:space="preserve">היא התייחסה בטיעוניה להימלטות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 שותף אחר לבאר שבע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אלירן</w:t>
      </w:r>
      <w:r>
        <w:rPr>
          <w:rtl w:val="true"/>
        </w:rPr>
        <w:t xml:space="preserve">) </w:t>
      </w:r>
      <w:r>
        <w:rPr>
          <w:rtl w:val="true"/>
        </w:rPr>
        <w:t>בתחילת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 </w:t>
      </w:r>
      <w:r>
        <w:rPr>
          <w:rtl w:val="true"/>
        </w:rPr>
        <w:t>ינואר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 ניצל שהותו לביצוע שני מקרי שוד נוספים</w:t>
      </w:r>
      <w:r>
        <w:rPr>
          <w:rtl w:val="true"/>
        </w:rPr>
        <w:t xml:space="preserve">, </w:t>
      </w:r>
      <w:r>
        <w:rPr>
          <w:rtl w:val="true"/>
        </w:rPr>
        <w:t>נושא האישומים החמישי והשישי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באירוע השוד נושא האישום החמישי</w:t>
      </w:r>
      <w:r>
        <w:rPr>
          <w:rtl w:val="true"/>
        </w:rPr>
        <w:t xml:space="preserve">, </w:t>
      </w:r>
      <w:r>
        <w:rPr>
          <w:rtl w:val="true"/>
        </w:rPr>
        <w:t>הנאשם שלף את האקדח ודרך 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ועוד לחומרה עברו המכביד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ציינה ההודאה ולקיחת האחריות והחיסכון בזמן שיפוטי ובזמנם של העדים וב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. </w:t>
      </w:r>
      <w:r>
        <w:rPr>
          <w:rtl w:val="true"/>
        </w:rPr>
        <w:t xml:space="preserve">באשר לשיתוף הפעולה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 החוקרים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הדגישה בטיעוניה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הודה בחקירה החמישית </w:t>
      </w:r>
      <w:r>
        <w:rPr>
          <w:rtl w:val="true"/>
        </w:rPr>
        <w:t>(</w:t>
      </w:r>
      <w:r>
        <w:rPr>
          <w:rtl w:val="true"/>
        </w:rPr>
        <w:t>לאחר שהכחיש בתחילת אותה חקירה</w:t>
      </w:r>
      <w:r>
        <w:rPr>
          <w:rtl w:val="true"/>
        </w:rPr>
        <w:t xml:space="preserve">) </w:t>
      </w:r>
      <w:r>
        <w:rPr>
          <w:rtl w:val="true"/>
        </w:rPr>
        <w:t xml:space="preserve">רק לאחר שחשש שאלירן הפליל אותו ולאחר שנודע לו שהמדובב איתו שהה בתא המעצר </w:t>
      </w:r>
      <w:r>
        <w:rPr>
          <w:rtl w:val="true"/>
        </w:rPr>
        <w:t>"</w:t>
      </w:r>
      <w:r>
        <w:rPr>
          <w:rtl w:val="true"/>
        </w:rPr>
        <w:t>הפיל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רוצה לומר שגם שיקול זה נשקל ע</w:t>
      </w:r>
      <w:r>
        <w:rPr>
          <w:rtl w:val="true"/>
        </w:rPr>
        <w:t>"</w:t>
      </w:r>
      <w:r>
        <w:rPr>
          <w:rtl w:val="true"/>
        </w:rPr>
        <w:t>י המאשימה ואין להפריז בחשיבותו כפי שמבקשת ההגנה</w:t>
      </w:r>
      <w:r>
        <w:rPr>
          <w:rtl w:val="true"/>
        </w:rPr>
        <w:t xml:space="preserve">, </w:t>
      </w:r>
      <w:r>
        <w:rPr>
          <w:rtl w:val="true"/>
        </w:rPr>
        <w:t>בהתחשב בנסיבות שפירטו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על פי עקרון ההלימה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בנסיבות הקשורות בביצוע העבירה </w:t>
      </w:r>
      <w:r>
        <w:rPr>
          <w:rtl w:val="true"/>
        </w:rPr>
        <w:t>(</w:t>
      </w:r>
      <w:r>
        <w:rPr>
          <w:rtl w:val="true"/>
        </w:rPr>
        <w:t xml:space="preserve">אלה המנויים </w:t>
      </w:r>
      <w:hyperlink r:id="rId35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</w:t>
      </w:r>
      <w:hyperlink r:id="rId3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במדיניות הענישה הנוהגת ובערכים החברתיים שנפגעו והנזק שעלול היה להיגרם</w:t>
      </w:r>
      <w:r>
        <w:rPr>
          <w:rtl w:val="true"/>
        </w:rPr>
        <w:t xml:space="preserve">, </w:t>
      </w:r>
      <w:r>
        <w:rPr>
          <w:rtl w:val="true"/>
        </w:rPr>
        <w:t>מתחם העונש ההולם לגבי כל אחד מהאישומים נע בין ארבע לשש שנות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בסופו של דבר עתרה ב</w:t>
      </w:r>
      <w:r>
        <w:rPr>
          <w:rtl w:val="true"/>
        </w:rPr>
        <w:t>"</w:t>
      </w:r>
      <w:r>
        <w:rPr>
          <w:rtl w:val="true"/>
        </w:rPr>
        <w:t xml:space="preserve">כ המאשימה לעונש כולל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בגין כל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נטען כי העונש המוצע הוא שקלול של כלל הנסיבות לחומרה ולקולה לרבות שיתוף הפעולה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 רשויות אכיפת החוק ואין להקל עמו מעבר לכך</w:t>
      </w:r>
      <w:r>
        <w:rPr>
          <w:rtl w:val="true"/>
        </w:rPr>
        <w:t xml:space="preserve">. </w:t>
      </w:r>
      <w:r>
        <w:rPr>
          <w:rtl w:val="true"/>
        </w:rPr>
        <w:t>בנוסף עתרה ב</w:t>
      </w:r>
      <w:r>
        <w:rPr>
          <w:rtl w:val="true"/>
        </w:rPr>
        <w:t>"</w:t>
      </w:r>
      <w:r>
        <w:rPr>
          <w:rtl w:val="true"/>
        </w:rPr>
        <w:t xml:space="preserve">כ המאשימה להפעיל במצטבר עונש מאסר על תנאי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התלוי ועומד נגדו ולעונשים נלווים של מאסר על תנאי</w:t>
      </w:r>
      <w:r>
        <w:rPr>
          <w:rtl w:val="true"/>
        </w:rPr>
        <w:t xml:space="preserve">, </w:t>
      </w:r>
      <w:r>
        <w:rPr>
          <w:rtl w:val="true"/>
        </w:rPr>
        <w:t>קנס ופיצוי עונשי לכל אחד מקורבנות 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טעוני 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המאשימה לגבי נאשם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בפתח טיעוניה ציינה ב</w:t>
      </w:r>
      <w:r>
        <w:rPr>
          <w:rtl w:val="true"/>
        </w:rPr>
        <w:t>"</w:t>
      </w:r>
      <w:r>
        <w:rPr>
          <w:rtl w:val="true"/>
        </w:rPr>
        <w:t>כ המאשימה כי בהשוואה לשותפים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חלקו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פחות דומיננטי</w:t>
      </w:r>
      <w:r>
        <w:rPr>
          <w:rtl w:val="true"/>
        </w:rPr>
        <w:t xml:space="preserve">. </w:t>
      </w:r>
      <w:r>
        <w:rPr>
          <w:rtl w:val="true"/>
        </w:rPr>
        <w:t>עם זאת ברור כי הוא היווה חוליה חשובה ובמעשיו תרם וסייע לביצוע אירועי השוד נושא האישום הראשון והשני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האישומים הרלוונטיים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הם הראשון והשני שבוצעו בהפרש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ימים אחד מהשני</w:t>
      </w:r>
      <w:r>
        <w:rPr>
          <w:rtl w:val="true"/>
        </w:rPr>
        <w:t xml:space="preserve">. </w:t>
      </w:r>
      <w:r>
        <w:rPr>
          <w:rtl w:val="true"/>
        </w:rPr>
        <w:t xml:space="preserve">באישום השני הורשע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בסיוע לשוד ולטענת המאשימה מדובר בסיוע שיש להציבו ברף הגבוה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ציינה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מודע לחומרת האירועים וקיבל חלקו בשלל</w:t>
      </w:r>
      <w:r>
        <w:rPr>
          <w:rtl w:val="true"/>
        </w:rPr>
        <w:t xml:space="preserve">. </w:t>
      </w:r>
      <w:r>
        <w:rPr>
          <w:rtl w:val="true"/>
        </w:rPr>
        <w:t>מתחם העונש ההולם שהוצע ע</w:t>
      </w:r>
      <w:r>
        <w:rPr>
          <w:rtl w:val="true"/>
        </w:rPr>
        <w:t>"</w:t>
      </w:r>
      <w:r>
        <w:rPr>
          <w:rtl w:val="true"/>
        </w:rPr>
        <w:t xml:space="preserve">י המאשימה 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ובהתחשב בשיקולים שיש למנות בתוך המתחם</w:t>
      </w:r>
      <w:r>
        <w:rPr>
          <w:rtl w:val="true"/>
        </w:rPr>
        <w:t xml:space="preserve">, </w:t>
      </w:r>
      <w:r>
        <w:rPr>
          <w:rtl w:val="true"/>
        </w:rPr>
        <w:t>סבורה המאשימה שבאישום הראשון יש להעמיד את העונש קרוב לרף העליון ובאישום השני עונש נמוך מזה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חלקה על עמדת שירות המבחן וטענה שהמלצת השירות להסתפק בעבודות שירות עומדת בסתירה לאינטרס הציבורי ואינה תואמת את האמור בתסקיר</w:t>
      </w:r>
      <w:r>
        <w:rPr>
          <w:rtl w:val="true"/>
        </w:rPr>
        <w:t xml:space="preserve">, </w:t>
      </w:r>
      <w:r>
        <w:rPr>
          <w:rtl w:val="true"/>
        </w:rPr>
        <w:t xml:space="preserve">לאור העמדות שהציג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ולאור העובדה שהנאשם עבר טיפול ראשוני בלבד </w:t>
      </w:r>
      <w:r>
        <w:rPr>
          <w:rtl w:val="true"/>
        </w:rPr>
        <w:t>(</w:t>
      </w:r>
      <w:r>
        <w:rPr>
          <w:rtl w:val="true"/>
        </w:rPr>
        <w:t xml:space="preserve">שהופסק באוקטובר </w:t>
      </w:r>
      <w:r>
        <w:rPr/>
        <w:t>2013</w:t>
      </w:r>
      <w:r>
        <w:rPr>
          <w:rtl w:val="true"/>
        </w:rPr>
        <w:t xml:space="preserve">) </w:t>
      </w:r>
      <w:r>
        <w:rPr>
          <w:rtl w:val="true"/>
        </w:rPr>
        <w:t>ולא נמצא היום בהליך 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 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נאשם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בפתח טיעוניו ציין הסניגור המלומד שההגנה אינה חולקת על חומרתן של העבירות והנזקים הנפשיים הנלווים לעבירות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 חלק על מתחם הענישה שהוצע על ידי המאשימה</w:t>
      </w:r>
      <w:r>
        <w:rPr>
          <w:rtl w:val="true"/>
        </w:rPr>
        <w:t xml:space="preserve">. </w:t>
      </w:r>
      <w:r>
        <w:rPr>
          <w:rtl w:val="true"/>
        </w:rPr>
        <w:t>לשיטתו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2146/13</w:t>
        </w:r>
      </w:hyperlink>
      <w:r>
        <w:rPr>
          <w:rtl w:val="true"/>
        </w:rPr>
        <w:t xml:space="preserve"> (</w:t>
      </w:r>
      <w:r>
        <w:rPr>
          <w:rtl w:val="true"/>
        </w:rPr>
        <w:t>שם דובר בצעיר ללא עבר פלילי שביצע עבירת שוד בבנק כשהוא מצויד באקדח צעצוע</w:t>
      </w:r>
      <w:r>
        <w:rPr>
          <w:rtl w:val="true"/>
        </w:rPr>
        <w:t xml:space="preserve">), </w:t>
      </w:r>
      <w:r>
        <w:rPr>
          <w:rtl w:val="true"/>
        </w:rPr>
        <w:t xml:space="preserve">נקבע מתחם ענישה בין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והנאשם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נטען כי הנסיבות שם זהות לנסיבות נושא תיק זה למעט השימוש באקדח אמיתי</w:t>
      </w:r>
      <w:r>
        <w:rPr>
          <w:rtl w:val="true"/>
        </w:rPr>
        <w:t xml:space="preserve">. </w:t>
      </w:r>
      <w:r>
        <w:rPr>
          <w:rtl w:val="true"/>
        </w:rPr>
        <w:t>לפיכך כך נטען הפער בענישה של שנים בין שני המקרים</w:t>
      </w:r>
      <w:r>
        <w:rPr>
          <w:rtl w:val="true"/>
        </w:rPr>
        <w:t xml:space="preserve">, </w:t>
      </w:r>
      <w:r>
        <w:rPr>
          <w:rtl w:val="true"/>
        </w:rPr>
        <w:t>אינו סביר</w:t>
      </w:r>
      <w:r>
        <w:rPr>
          <w:rtl w:val="true"/>
        </w:rPr>
        <w:t xml:space="preserve">. </w:t>
      </w:r>
      <w:r>
        <w:rPr>
          <w:rtl w:val="true"/>
        </w:rPr>
        <w:t>לטענת הסניגור</w:t>
      </w:r>
      <w:r>
        <w:rPr>
          <w:rtl w:val="true"/>
        </w:rPr>
        <w:t xml:space="preserve">, </w:t>
      </w:r>
      <w:r>
        <w:rPr>
          <w:rtl w:val="true"/>
        </w:rPr>
        <w:t>הרשעתו של הנאשם גם בעבירה של החזקת נשק שלא כדין אין בה כדי לשנות את מתחם הענישה מאחר ועבירת הנשק מובנית בעבירת השוד ו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בתוכה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הסניגור מיקד עיקר טיעוניו בשיתוף הפעולה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 גורמי החקירה</w:t>
      </w:r>
      <w:r>
        <w:rPr>
          <w:rtl w:val="true"/>
        </w:rPr>
        <w:t xml:space="preserve">, </w:t>
      </w:r>
      <w:r>
        <w:rPr>
          <w:rtl w:val="true"/>
        </w:rPr>
        <w:t>ההודעה המפורטת שמסר וחשיפת כל הפרטים לרבות חלקם של השותפים</w:t>
      </w:r>
      <w:r>
        <w:rPr>
          <w:rtl w:val="true"/>
        </w:rPr>
        <w:t xml:space="preserve">. </w:t>
      </w:r>
      <w:r>
        <w:rPr>
          <w:rtl w:val="true"/>
        </w:rPr>
        <w:t>לטענת הסניגור</w:t>
      </w:r>
      <w:r>
        <w:rPr>
          <w:rtl w:val="true"/>
        </w:rPr>
        <w:t xml:space="preserve">, </w:t>
      </w:r>
      <w:r>
        <w:rPr>
          <w:rtl w:val="true"/>
        </w:rPr>
        <w:t xml:space="preserve">המהפך שעשה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והתנהלותו בשלב זה של החקירה מלמדת על השינוי שהחליט לעשות באורח חייו</w:t>
      </w:r>
      <w:r>
        <w:rPr>
          <w:rtl w:val="true"/>
        </w:rPr>
        <w:t xml:space="preserve">. </w:t>
      </w:r>
      <w:r>
        <w:rPr>
          <w:rtl w:val="true"/>
        </w:rPr>
        <w:t xml:space="preserve">במיוחד אמורים הדברים בהחלטה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להפליל גם את שבליק</w:t>
      </w:r>
      <w:r>
        <w:rPr>
          <w:rtl w:val="true"/>
        </w:rPr>
        <w:t xml:space="preserve">, </w:t>
      </w:r>
      <w:r>
        <w:rPr>
          <w:rtl w:val="true"/>
        </w:rPr>
        <w:t>אדם קרוב לו</w:t>
      </w:r>
      <w:r>
        <w:rPr>
          <w:rtl w:val="true"/>
        </w:rPr>
        <w:t xml:space="preserve">, </w:t>
      </w:r>
      <w:r>
        <w:rPr>
          <w:rtl w:val="true"/>
        </w:rPr>
        <w:t>שהיה בן זוגה של אחותו והכל למרות הסכנה הצפויה לו מאלה שהביא להפללתם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באשר לחלקו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הסניגור טען ש</w:t>
      </w:r>
      <w:r>
        <w:rPr>
          <w:rtl w:val="true"/>
        </w:rPr>
        <w:t>"</w:t>
      </w:r>
      <w:r>
        <w:rPr>
          <w:rtl w:val="true"/>
        </w:rPr>
        <w:t>המוח</w:t>
      </w:r>
      <w:r>
        <w:rPr>
          <w:rtl w:val="true"/>
        </w:rPr>
        <w:t xml:space="preserve">" </w:t>
      </w:r>
      <w:r>
        <w:rPr>
          <w:rtl w:val="true"/>
        </w:rPr>
        <w:t xml:space="preserve">שעמד מאחורי תכנון אירועי השוד והוצאתם לפועל היה שבליק שלא סיכן את עצמו ושלח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 בפועל את השוד</w:t>
      </w:r>
      <w:r>
        <w:rPr>
          <w:rtl w:val="true"/>
        </w:rPr>
        <w:t xml:space="preserve">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שהנאשם לא היה השותף הדומיננטי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 שכתוצאה משיתוף הפעולה</w:t>
      </w:r>
      <w:r>
        <w:rPr>
          <w:rtl w:val="true"/>
        </w:rPr>
        <w:t xml:space="preserve">, </w:t>
      </w:r>
      <w:r>
        <w:rPr>
          <w:rtl w:val="true"/>
        </w:rPr>
        <w:t xml:space="preserve">מוחזק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בהפרדה וכל תקופת מאסר שתוטל עליו מטבע הדברים תהייה קשה יותר עבורו</w:t>
      </w:r>
      <w:r>
        <w:rPr>
          <w:rtl w:val="true"/>
        </w:rPr>
        <w:t xml:space="preserve">, </w:t>
      </w:r>
      <w:r>
        <w:rPr>
          <w:rtl w:val="true"/>
        </w:rPr>
        <w:t>חרף המאמצים שיעשו על ידי  משטרת ישראל להגן 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הסניגור ביקש לראות בשיתוף הפעולה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עם המשטרה ראשיתו של הליך שיקום </w:t>
      </w:r>
      <w:r>
        <w:rPr>
          <w:rtl w:val="true"/>
        </w:rPr>
        <w:t>(</w:t>
      </w:r>
      <w:r>
        <w:rPr>
          <w:rtl w:val="true"/>
        </w:rPr>
        <w:t xml:space="preserve">במובן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וסיכוי של ממש שעם שחרורו</w:t>
      </w:r>
      <w:r>
        <w:rPr>
          <w:rtl w:val="true"/>
        </w:rPr>
        <w:t xml:space="preserve">, </w:t>
      </w:r>
      <w:r>
        <w:rPr>
          <w:rtl w:val="true"/>
        </w:rPr>
        <w:t>הוא ישתקם באופן המצדיק הקלה בעונש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הסניגור מבקש להסתפק בעונש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כולל הפעלה של המאסר על תנאי</w:t>
      </w:r>
      <w:r>
        <w:rPr>
          <w:rtl w:val="true"/>
        </w:rPr>
        <w:t xml:space="preserve">. </w:t>
      </w:r>
      <w:r>
        <w:rPr>
          <w:rtl w:val="true"/>
        </w:rPr>
        <w:t>לדעתו זה העונש ההולם והראוי בנסיבות 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תמך טיעוניו 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4069/12</w:t>
        </w:r>
      </w:hyperlink>
      <w:r>
        <w:rPr>
          <w:rtl w:val="true"/>
        </w:rPr>
        <w:t xml:space="preserve">, </w:t>
      </w:r>
      <w:r>
        <w:rPr>
          <w:rtl w:val="true"/>
        </w:rPr>
        <w:t>כהן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11.10.12</w:t>
      </w:r>
      <w:r>
        <w:rPr>
          <w:rtl w:val="true"/>
        </w:rPr>
        <w:t xml:space="preserve"> (</w:t>
      </w:r>
      <w:r>
        <w:rPr>
          <w:rtl w:val="true"/>
        </w:rPr>
        <w:t>פורסם בנבו</w:t>
      </w:r>
      <w:r>
        <w:rPr>
          <w:rtl w:val="true"/>
        </w:rPr>
        <w:t xml:space="preserve">),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 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8566-06-13</w:t>
        </w:r>
      </w:hyperlink>
      <w:r>
        <w:rPr>
          <w:rtl w:val="true"/>
        </w:rPr>
        <w:t xml:space="preserve">,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40309/04</w:t>
        </w:r>
      </w:hyperlink>
      <w:r>
        <w:rPr>
          <w:rtl w:val="true"/>
        </w:rPr>
        <w:t xml:space="preserve">,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בראנץ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8087/03</w:t>
        </w:r>
      </w:hyperlink>
      <w:r>
        <w:rPr>
          <w:rtl w:val="true"/>
        </w:rPr>
        <w:t xml:space="preserve">,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1.2.06</w:t>
      </w:r>
      <w:r>
        <w:rPr>
          <w:rtl w:val="true"/>
        </w:rPr>
        <w:t xml:space="preserve"> (</w:t>
      </w:r>
      <w:r>
        <w:rPr>
          <w:rtl w:val="true"/>
        </w:rPr>
        <w:t>פורסם בנבו</w:t>
      </w:r>
      <w:r>
        <w:rPr>
          <w:rtl w:val="true"/>
        </w:rPr>
        <w:t>)</w:t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 אמר דברו אחרון וציין שאין לו מה להוסיף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 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נאשם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הסניגור המלומד התייחס בפתח טיעוניו לחלקו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בכל אחד מהאירועים</w:t>
      </w:r>
      <w:r>
        <w:rPr>
          <w:rtl w:val="true"/>
        </w:rPr>
        <w:t xml:space="preserve">. </w:t>
      </w:r>
      <w:r>
        <w:rPr>
          <w:rtl w:val="true"/>
        </w:rPr>
        <w:t xml:space="preserve">לשיטת הסניגור מעורבותו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באישום הראשון הייתה מצומצמת מאוד והתבטאה בהסעתו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לזירת האירוע ומילוטו משם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חרף הרשעתו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בעבירת נשק</w:t>
      </w:r>
      <w:r>
        <w:rPr>
          <w:rtl w:val="true"/>
        </w:rPr>
        <w:t xml:space="preserve">, </w:t>
      </w:r>
      <w:r>
        <w:rPr>
          <w:rtl w:val="true"/>
        </w:rPr>
        <w:t>הוא לא החזיק בנשק ולא ראה את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נטען 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לקח חלק בתכנון הראשוני ולא נמנה על הקושרים וחלקו התבטא בכך שהוא המתין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במרחק כמה רחובות</w:t>
      </w:r>
      <w:r>
        <w:rPr>
          <w:rtl w:val="true"/>
        </w:rPr>
        <w:t xml:space="preserve">, </w:t>
      </w:r>
      <w:r>
        <w:rPr>
          <w:rtl w:val="true"/>
        </w:rPr>
        <w:t>על מנת למלט אותו מהמקום והם החביאו את התיק עם השלל</w:t>
      </w:r>
      <w:r>
        <w:rPr>
          <w:rtl w:val="true"/>
        </w:rPr>
        <w:t xml:space="preserve">. </w:t>
      </w:r>
      <w:r>
        <w:rPr>
          <w:rtl w:val="true"/>
        </w:rPr>
        <w:t>באשר לעבירת השיבוש</w:t>
      </w:r>
      <w:r>
        <w:rPr>
          <w:rtl w:val="true"/>
        </w:rPr>
        <w:t xml:space="preserve">, </w:t>
      </w:r>
      <w:r>
        <w:rPr>
          <w:rtl w:val="true"/>
        </w:rPr>
        <w:t xml:space="preserve">נטען שיש כאן </w:t>
      </w:r>
      <w:r>
        <w:rPr>
          <w:rtl w:val="true"/>
        </w:rPr>
        <w:t>"</w:t>
      </w:r>
      <w:r>
        <w:rPr>
          <w:rtl w:val="true"/>
        </w:rPr>
        <w:t>משהו אנומלי במחשבה שלא רק שהוא שודד הוא גם משבש</w:t>
      </w:r>
      <w:r>
        <w:rPr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הסניגור ציין כי עברו הנקי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מצביע על אורח חיים נורמטיבי והוא כשל בביצוע העבירות נושא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הסנגור ביקש לשקול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לקולה ההודאה והבעת החרטה</w:t>
      </w:r>
      <w:r>
        <w:rPr>
          <w:rtl w:val="true"/>
        </w:rPr>
        <w:t xml:space="preserve">, </w:t>
      </w:r>
      <w:r>
        <w:rPr>
          <w:rtl w:val="true"/>
        </w:rPr>
        <w:t>חיסכון בזמן שיפוטי</w:t>
      </w:r>
      <w:r>
        <w:rPr>
          <w:rtl w:val="true"/>
        </w:rPr>
        <w:t xml:space="preserve">, </w:t>
      </w:r>
      <w:r>
        <w:rPr>
          <w:rtl w:val="true"/>
        </w:rPr>
        <w:t>שיתוף הפעולה עם החוקרים והסיוע שלו בפיצוח הפרשה</w:t>
      </w:r>
      <w:r>
        <w:rPr>
          <w:rtl w:val="true"/>
        </w:rPr>
        <w:t xml:space="preserve">. </w:t>
      </w:r>
      <w:r>
        <w:rPr>
          <w:rtl w:val="true"/>
        </w:rPr>
        <w:t xml:space="preserve">הוא ציין כי מאז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חשוף לאיומים וחי בפחד</w:t>
      </w:r>
      <w:r>
        <w:rPr>
          <w:rtl w:val="true"/>
        </w:rPr>
        <w:t xml:space="preserve">. </w:t>
      </w:r>
      <w:r>
        <w:rPr>
          <w:rtl w:val="true"/>
        </w:rPr>
        <w:t>הסניגור ביקש להסתפק בעבודות שירות ותמך בקשתו בהמלצת שירות המבחן המבוססת לדבריו</w:t>
      </w:r>
      <w:r>
        <w:rPr>
          <w:rtl w:val="true"/>
        </w:rPr>
        <w:t xml:space="preserve">, </w:t>
      </w:r>
      <w:r>
        <w:rPr>
          <w:rtl w:val="true"/>
        </w:rPr>
        <w:t xml:space="preserve">על נתוניו האישיים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והתרשמות בלתי אמצעית ממנו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הגדיר מעשיו כמעשים של טיפשות וציין כי היה מודע למעשיו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הצער שגרם לאמו בעקבות מעורבותו בעבירות הוא העונש הגרוע מכל 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חומרתה של עבירת השוד נכתב רבות ודומני כי אין צורך להוסיף ולהכביר מלים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8660/10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פלוני נגד 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17.5.11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עמד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 על חומרתה של העבירה וציין כי העבירה מאגדת בקרבה את הפן האלים עם הפן הרכושי ויש בה איום מובנה לגופו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לכבודו ולקניינו של הקורבן ולזכויותיו החוקתיות הבסיסיות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מחייבת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 דין אחר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5901/10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גולקו נגד 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שניתן באותו יום </w:t>
      </w:r>
      <w:r>
        <w:rPr>
          <w:rFonts w:cs="Arial" w:ascii="Arial" w:hAnsi="Arial"/>
        </w:rPr>
        <w:t>17.5.11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127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כבר נשפכו דיואות רבים על חומרתה של 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המצדיקה ככלל עונש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כשהיא נעברת בצירוף נשק ובנסיבות חמורות</w:t>
      </w:r>
      <w:r>
        <w:rPr>
          <w:rFonts w:cs="Arial" w:ascii="Arial" w:hAnsi="Arial"/>
          <w:rtl w:val="true"/>
        </w:rPr>
        <w:t xml:space="preserve">...". </w:t>
      </w:r>
    </w:p>
    <w:p>
      <w:pPr>
        <w:pStyle w:val="Normal"/>
        <w:spacing w:lineRule="auto" w:line="360"/>
        <w:ind w:firstLine="720" w:end="127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ובהמשך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127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"...</w:t>
      </w:r>
      <w:r>
        <w:rPr>
          <w:rFonts w:ascii="Arial" w:hAnsi="Arial" w:cs="Arial"/>
          <w:rtl w:val="true"/>
        </w:rPr>
        <w:t>היורד לביטחונם לכבודם ולרכושם של בני אנוש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דינו מאסר משמעותי</w:t>
      </w:r>
      <w:r>
        <w:rPr>
          <w:rFonts w:cs="Arial" w:ascii="Arial" w:hAnsi="Arial"/>
          <w:rtl w:val="true"/>
        </w:rPr>
        <w:t xml:space="preserve">...".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היתר ב</w:t>
      </w:r>
      <w:r>
        <w:rPr>
          <w:rFonts w:ascii="Arial" w:hAnsi="Arial" w:cs="Arial"/>
          <w:rtl w:val="true"/>
        </w:rPr>
        <w:t>–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שוד בנסיבות מחמירות ובעבירה של סיוע לשוד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אחת של שוד בנסיבות מחמירות ובעבירה של סיוע לשוד ובעבירות נלוות של החזקת נשק ושיבוש מהלכי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מטבע הדברים שנוכח מעורבותם השונה של כל אחד מהנאשמים אין לדון בעניינם בכפיפה אחת מלבד העיקרון המנחה לגבי העונש ההולם בעבירת השוד כפי שצוטט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ביחד עם שותפים אחרים פעל כשודד סדרתי על פי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שיטה ודפוס התנהגות קבוע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המעשים תוכננו בקפידה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הצטיידות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קסדות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כפפות ותיק לאיסוף הכסף במטרה לשדוד סניפי בנק ודואר ולחלוק בשלל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חומרתה של עבירת השוד המבוצעת בצוותא ולאחר תכנון מוקדם אמר בית המשפט העליון שהיא מצריכה תגובה עונשית חמורה ואפקטיבית כמסר של הגנה על ביטחון הציבור וכמסר חינוכי שייקלט בתודעת הציבור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נגד אורן אבוטבול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בכל האירועים נושא האישומים הראשון עד השישי החזיק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 שקיבל משבליק וביצע בפועל את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נקל לתאר את האימה שתקפה את המתלוננים כאשר מצאו עצמם מול אקדח שלוף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תחושות הפחד וחוסר האונים בהם היו שרויים מותירות ללא ספק צלקות לתקופה ארוכה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תצהירי נפגעי העבירה מדברים בעד עצמם ומלמדים על הפגיעה הקשה בביטחונם האישי והטראומה המלווה אותם בחיי היומיום יום עד כדי שיבוש אורח חייהם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לחומרה יש לזקוף את העובדה שהאירועים בוצעו באיומים באקדח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בידי לקבל טענתו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שעבירת הנשק מובנית בתוך עבירת השוד ואינה נפרדת ממנה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דומה עניינו של עבריין שביצע עבירת שוד באמצעות איומים בנשק לעניינו של עבריין שלא הצטייד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ביצוע עבירת שוד כשעבריין מזוין בנשק כמו גם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סעיף </w:t>
      </w:r>
      <w:hyperlink r:id="rId46"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נסיבה מחמירה והעונש הקבוע לצידה של עבירה זו הוא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להבדיל מעונש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בהיעדר נסיבות לחומרה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מורשה להחזיק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עברו המכביד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והעבירות נושא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מלמדים על מסוכנותו וקמה החובה להרחיקו מהציבור לתקופה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המעשים בוצעו לאור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ללמדנו על התעוזה וקור הרוח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שללם של השודדים בששת האירועים הגיע לכדי </w:t>
      </w:r>
      <w:r>
        <w:rPr>
          <w:rFonts w:cs="Arial" w:ascii="Arial" w:hAnsi="Arial"/>
        </w:rPr>
        <w:t>53,880₪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הכסף לא הוחזר והאקדח לא נתפס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78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הנסיבות הקשורות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את הנתונים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התכנון שקדם לעבירה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קשירת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הצטיידות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קסדות ותיק לאיסוף הכסף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איתור סניפי בנק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דואר מתאימים ושותף שהמתין במקום לצורך מילוט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חלקו שהיחסי של הנאשם בביצוע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דומיננטי והיה מבצע בפועל של כל אירועי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הנזק שהיה צפוי להיגרם מביצוע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הנזק שנגרם מביצוע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סך הכספים שנשדדו הגיע לכדי </w:t>
      </w:r>
      <w:r>
        <w:rPr>
          <w:rFonts w:cs="Arial" w:ascii="Arial" w:hAnsi="Arial"/>
        </w:rPr>
        <w:t>53,880₪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כיוון את האקדח לעבר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עליהם והטיל עליהם מורא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הסיבות שהביאו את הנאשם לביצוע העבירות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בצע כסף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הפסיקה מלמדת שהעונשים המוטלים בעבירות שוד הינם על דרך הכלל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ומידרג  החומרה בעבירות אלה אינו זהה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לזהות את מתחם הענישה הראוי בקבוצת המעשים הדומים בנסיבותיהם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עיון בפסיקה מצביע על מתחם ענישה 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עבודות שירות באותם המקרים בהם העדיף בית המשפט שיקולי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בידי לקבל 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ששיתוף הפעולה שלו עם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שקול לראשיתו של הליך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שיתוף הפעולה עם החוקרים נמנה על הנסיבות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אלה המנויות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ובית המשפט רשאי להתחשב בשיקול זה בעת גזירת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בחינת הפסיקה שניתנה בעבירות שוד בנסיבות שונות תוך שימוש בנשק או בסכין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שקבעתי במקרה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שמתחם העונש ההולם בעבירה של שוד תוך שימוש בנשק 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לבין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בכל אחד מהאישומים גם בעבירות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 ושינוי זהות של רכב באישומים השני והרביעי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במצב דברים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 שיש לקבוע מתחם ענישה חמור יותר מזה שנקבע לעבירת שוד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הענישה שהוצע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מחמיר לדעתי במעט ואני קובעת את מתחם העונש ההולם בגין כל אחד מהאישומים בטווח שבין שלוש שנים וחצי לחמש שנים וחצי 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3907/10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נעאמנה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הורשעו הנאשמים בעבירות של שוד מזוין ונשיאת נשק ונדונו לעונשים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8636/12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תרתיר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בעבירה של שוד מזוין בנסיבות בהן כפת שומר והשתמש בגז פלפל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עיינתי בפסיקה שהציג לעיוני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ולא מצאתי שהיא רלבנטית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4069/12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כהן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התערב בית המשפט העליון בעונשו של המערער והעמיד אותו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בשל הפער שנוצר בין העונש שלו לעונש של שותפו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שנדון לעבודות שירות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למרות קביעת בית משפט קמא שהם היו מבצעים בצוותא והשוני ביניהם היה מבחינת המעשה 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8566-06-13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מזרחי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בגין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מקרי שוד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 מאסר על תנאי במצטבר ובחופף כך שבסך הכל נדון למאסר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עמד בית המשפט על נסיבותיו האישיות הקשות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40309/04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בראנץ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בגין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מקרי שוד ועבירה של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נתן משקל משמעותי לגילו של הנאשם בהיותו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בגיר צעיר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ולחוות דעת של פסיכולוגית קלינית שנתקבלה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8087/03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רלבנטי 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משהחליט בית המשפט העליון משיקולי שיקום להסתפק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והומר עונש 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שנגזרו על המערער בבית המשפט המחוזי למאסר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אלה המנויות 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את הנסיבות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ונטל אחריות על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חיסכון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עברו המכביד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מאסרים קודמים שנשא ומאסר על תנאי התלוי ועומד 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את העבירה הראשונה נושא האישום הראשון כחודש לאחר ששוחרר ממאסר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הכסף לא הוחזר והאקדח לא הוסגר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לכל זאת יש להוסיף את שיתוף הפעולה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רשויות אכיפת החוק כפי שהדברים פורטו בעדויותיהם של עדי ההגנה רפ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 שרייבהנד ורס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אביוב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העדים ציינו בבית המשפט כי העדות שמסר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במהלך החקירה החמישית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לגבי האירועים והשותפים הייתה מלאה ומפורטת והקלה על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שהאירועים פוצחו גם ללא עדותו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מסכימה כי שיתוף הפעולה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עם המשטרה אינו דבר מובן מאליו בעולם העברייני של הנאשם ובמיוחד כאשר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פרטים מפלילים לגבי חבר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קרוב לו שהוא גם בן זוגה של אחותו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אני ערה לכך ששיתוף הפעולה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גורמי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מקטלג אותו כטעון הגנה במהלך שהייתו בכלא והוא מצוי בהפרדה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הגעתי למסקנה שעתירת המאשימה לעונש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אינו מחמיר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עונש ראוי על פי הפסיקה הנוהגת והאינטרס הציבורי המחייב מאסר משמעותי בנסיבות שכאלה ולצד זאת שקלה המאשימה את הנסיבות לקולה כפי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שיתוף הפעולה שלו עם רשויות אכיפת החוק ואין להקל עמו מעבר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בניגוד לטיעוני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שותף לקשירת הקשר ומבצע בצוותא של עבירת השוד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היווה חוליה חשובה בהוצאה לפועל של עבירת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השוני בינו לבין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מתבטא במעשה עצמו בעוד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שדד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נותר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בחוץ על מנת למלט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נמלטו מהמקום כשהם נושאים את שלל השוד ולאחר שהחביאו את כל הציוד הלכו לביתו של השותף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חלקו את השלל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 לקח חלק בקשירת הקשר ובתכנון הראשוני ביום </w:t>
      </w:r>
      <w:r>
        <w:rPr>
          <w:rFonts w:cs="Arial" w:ascii="Arial" w:hAnsi="Arial"/>
        </w:rPr>
        <w:t>4.12.12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סייע לבצע את עבירת השוד ומבצע בצוותא של עבירת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במכונית עם שבליק לזירת האירוע ומילט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מזירת האירוע לאחר שזה ביצע את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החביא את כל הציוד ומאוחר יותר הוציא אותו מהמחבוא וקיבל את חלקו בשלל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כל מה שנאמר לגבי חומרתה של עבירת השוד תקף גם לגבי נאשם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בערכים החברתיים שנפגעו מביצוע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 ובמדיניות הענישה הנוהגת ובנסיבות הקשורות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סבורה שיש לקבוע את מתחם העונש ההולם באישום הראשון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ובאישום השני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הנסיבות הקשורות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אלה המנויים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את קשירת הקשר והתכנון שקדם לעבירה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חלקו היחסי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לקח חלק דומיננטי בשוד עצמו אבל היווה חוליה חשובה בהוצאה לפועל של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הנזק שהיה צפוי להיגרם והנזק שנגרם מביצוע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סך הכספים שנשדדו באירועים הרלבנטיים לנאשם הגיע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28,611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והנאשם קיבל חלקו היחסי בשלל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הסיבות שהביאו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לבצע את העבירות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בצע כסף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סבורה שעניינו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 נכנס בגדרו של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פיו רשאי בית המשפט לחרוג ממתחם העונש ההולם ולהקל בעונשו של הנאשם אם מצא שהנאשם השתקם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סיכוי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שישתקם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שיקולי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נקיטת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אמצעי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שיקומי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לעשות כן ולהסתפק בעבודות שירות בהסתמכו על המלצת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כל הכבוד שאני רוחשת לעבודתו של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דומני כי בנסיבות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 שירות המבחן אינה מבוססת ולא קיימת הלימה בין האמור בתסקיר לבין ההמלצה להסתפק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למספר מפגשים פרטניים במסגרת הליך המעצר שייתכן וניתן לראות בהם טיפול ראשוני אבל לא יותר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המפגשים הופסקו באוקטובר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סיומו של צו הפיקוח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הפנים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תובנה מלאה למעשיו והוא נוטה להפחית ממידת אחריותו לביצוע העבירות והתקשה לבחון את האלמנטים האלימים בביצוע העבירה וסיכון חיי אדם שנשקף מהשימוש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רואה את תפקידו כנהג כתפקיד משני ומפחית מחומרת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היעדר עבר פלילי באירועים אלימים והרצון שלו לשתף פעולה עם שירות המבחן הם שיקולים לקולה אבל אינם באים במסגרת הליך שיקום המצדיקים חריגה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את הנסיבות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הודאתו גרמה לחיסכון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למעט העבירה של היעדרות משירות צבאי בגינה נדון למספר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הסתבך בעבירות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שיתף פעולה עם רשויות החוק ומסר גירסה מפורטת של האירועים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משיתוף הפעולה יוגדר הנאשם במסגרת מאסרו כטעון הגנה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בידי לקבל את המלצת שירות המבחן והסניגור ויש להעדיף את עמדת המאשימה שעתרה למאסר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מטילה על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ומניינם מיום מעצרו </w:t>
      </w:r>
      <w:r>
        <w:rPr>
          <w:rFonts w:cs="Arial" w:ascii="Arial" w:hAnsi="Arial"/>
        </w:rPr>
        <w:t>11.2.2013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יופעל המאסר על תנאי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24179-05-12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בית משפט השלום ברחובות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12.7.2012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המאסר יופעל בחופף למאסר שהוטל בתיק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יעבור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 או עבירת נשק או 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יעבור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לפיצוי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על פי ההלכה הנוהגת בקביעת סכום הפיצוי אין להתחשב במצבו הכלכלי של הנאשם או ביכולתו לעמוד בתשלום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לפיכך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אני מחייבת את הנאשם לפצות כל אחד מנפגעי העבירה באישומים הראשון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ascii="Arial" w:hAnsi="Arial" w:cs="Arial"/>
          <w:u w:val="single"/>
          <w:rtl w:val="true"/>
        </w:rPr>
        <w:t xml:space="preserve">השישי בסך </w:t>
      </w:r>
      <w:r>
        <w:rPr>
          <w:rFonts w:cs="Arial" w:ascii="Arial" w:hAnsi="Arial"/>
          <w:u w:val="single"/>
        </w:rPr>
        <w:t>2,500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לכל אחד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הסכום יופקד בקופת בית המשפט לא יאוחר מיום </w:t>
      </w:r>
      <w:r>
        <w:rPr>
          <w:rFonts w:cs="Arial" w:ascii="Arial" w:hAnsi="Arial"/>
        </w:rPr>
        <w:t>1.7.2014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יופקד הסכום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היתרה לפירעון מיידי והגבייה תועבר למרכז לגביית קנסות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יודיע לנפגעי העבירה תוכן ההחלטה וימסור פרטיהם האישיים למזכירות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בניכוי תקופת מעצרו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28.2.2013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23.4.2013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יעבור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יעבור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בנסיבות המקרה לא מצאתי שיש לחייב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לפצות את נפגעי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 ניסן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23/04/2014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גיל גבאי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חיים הדייה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עינת בניטה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קלרה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יניאנו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אבקש עיכוב ביצוע</w:t>
      </w:r>
      <w:r>
        <w:rPr>
          <w:rtl w:val="true"/>
        </w:rPr>
        <w:t xml:space="preserve">, </w:t>
      </w:r>
      <w:r>
        <w:rPr>
          <w:rtl w:val="true"/>
        </w:rPr>
        <w:t>עונש המאסר בפועל שנגזר על נאשם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הנאשם היה משוחרר והתייצב לכל הדיונים</w:t>
      </w:r>
      <w:r>
        <w:rPr>
          <w:rtl w:val="true"/>
        </w:rPr>
        <w:t xml:space="preserve">. </w:t>
      </w:r>
      <w:r>
        <w:rPr>
          <w:rtl w:val="true"/>
        </w:rPr>
        <w:t>הבקשה היא לצורך הגשת ערעור</w:t>
      </w:r>
      <w:r>
        <w:rPr>
          <w:rtl w:val="true"/>
        </w:rPr>
        <w:t xml:space="preserve">, </w:t>
      </w:r>
      <w:r>
        <w:rPr>
          <w:rtl w:val="true"/>
        </w:rPr>
        <w:t>הנאשם נמצא עדיין באיזוק אלקטרוני כשנתיים ולא הייתה לו הפרה אחת</w:t>
      </w:r>
      <w:r>
        <w:rPr>
          <w:rtl w:val="true"/>
        </w:rPr>
        <w:t xml:space="preserve">. </w:t>
      </w:r>
      <w:r>
        <w:rPr>
          <w:rtl w:val="true"/>
        </w:rPr>
        <w:t>בנסיבות העניין אבקש עיכוב ביצוע עונש המאסר</w:t>
      </w:r>
      <w:r>
        <w:rPr>
          <w:rtl w:val="true"/>
        </w:rPr>
        <w:t xml:space="preserve">. </w:t>
      </w:r>
      <w:r>
        <w:rPr>
          <w:rtl w:val="true"/>
        </w:rPr>
        <w:t>באשר לקנס שהוטל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הנאשם מסכים שהקנס יקוזז מתוך הכספים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שהפקיד במזומן</w:t>
      </w:r>
      <w:r>
        <w:rPr>
          <w:rtl w:val="true"/>
        </w:rPr>
        <w:t xml:space="preserve">. </w:t>
      </w:r>
      <w:r>
        <w:rPr>
          <w:rtl w:val="true"/>
        </w:rPr>
        <w:t>יתרת הסכום תשמש להבטחת התייצבותו לריצוי עונש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מתנגדים לעיכוב ביצוע</w:t>
      </w:r>
      <w:r>
        <w:rPr>
          <w:rtl w:val="true"/>
        </w:rPr>
        <w:t xml:space="preserve">, </w:t>
      </w:r>
      <w:r>
        <w:rPr>
          <w:rtl w:val="true"/>
        </w:rPr>
        <w:t>הכלל שריצוי המאסר יבוצע מיד בהטלת העונש</w:t>
      </w:r>
      <w:r>
        <w:rPr>
          <w:rtl w:val="true"/>
        </w:rPr>
        <w:t xml:space="preserve">. </w:t>
      </w:r>
      <w:r>
        <w:rPr>
          <w:rtl w:val="true"/>
        </w:rPr>
        <w:t>לא נתנגד להתארגנות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אין לנו התנגדות שמתוך הכספים שהופקדו יקוזזו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לטובת הקנס שהוטל על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לגבי 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שוהה במעצר בית</w:t>
      </w:r>
      <w:r>
        <w:rPr>
          <w:rtl w:val="true"/>
        </w:rPr>
        <w:t xml:space="preserve">, </w:t>
      </w:r>
      <w:r>
        <w:rPr>
          <w:rtl w:val="true"/>
        </w:rPr>
        <w:t xml:space="preserve">באיזוק אלקטרוני מיום </w:t>
      </w:r>
      <w:r>
        <w:rPr/>
        <w:t>23.4.13</w:t>
      </w:r>
      <w:r>
        <w:rPr>
          <w:rtl w:val="true"/>
        </w:rPr>
        <w:t xml:space="preserve">, </w:t>
      </w:r>
      <w:r>
        <w:rPr>
          <w:rtl w:val="true"/>
        </w:rPr>
        <w:t>התייצב לכל הדיונים ולא נרשמה לחובתו אף לא הפרה אחת של תנאי השחרור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בנסיבות אלה ובשים לב להמלצת שירות המבחן אני נעתרת לבקשה בחלקה ומורה על עיכוב ביצוע עונש המאסר בפועל עד ליום </w:t>
      </w:r>
      <w:r>
        <w:rPr>
          <w:rFonts w:cs="Calibri" w:ascii="Calibri" w:hAnsi="Calibri"/>
        </w:rPr>
        <w:t>25.5.14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בהעדר החלטה 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יתייצב הנאשם בתאריך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עד לשעה </w:t>
      </w:r>
      <w:r>
        <w:rPr>
          <w:rFonts w:cs="Calibri" w:ascii="Calibri" w:hAnsi="Calibri"/>
        </w:rPr>
        <w:t>10:00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 הסוהר הדרים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על פי החלטת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כשברשותו ת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הנאשם לתאם את הכניסה למאסר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 האפשרות למיון מוקדם עם ענף אבחון ומיון של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תנאי מעצר הבית באיזוק האלקטרוני יישארו בעינם עד להחלטה אחרת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ניתן צו לפיו הקנס בסך </w:t>
      </w:r>
      <w:r>
        <w:rPr>
          <w:rFonts w:cs="Calibri" w:ascii="Calibri" w:hAnsi="Calibri"/>
          <w:b/>
          <w:bCs/>
          <w:u w:val="single"/>
        </w:rPr>
        <w:t>5,000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₪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יקוזז מתוך כספים במזומן שהופקדו על ידי הנאשם ב</w:t>
      </w:r>
      <w:hyperlink r:id="rId6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19289-03-13</w:t>
        </w:r>
      </w:hyperlink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יתרת הסכום בסך </w:t>
      </w:r>
      <w:r>
        <w:rPr>
          <w:rFonts w:cs="Calibri" w:ascii="Calibri" w:hAnsi="Calibri"/>
          <w:b/>
          <w:bCs/>
          <w:u w:val="single"/>
        </w:rPr>
        <w:t>10,000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₪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תשמש ערבות להבטחת התייצבותו של הנאשם לריצוי עונש המאסר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bookmarkStart w:id="17" w:name="_GoBack"/>
      <w:bookmarkEnd w:id="1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23/04/2014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קלרה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יניאנו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לילך</w:t>
      </w:r>
      <w:r>
        <w:rPr>
          <w:rtl w:val="true"/>
        </w:rPr>
        <w:t xml:space="preserve"> </w:t>
      </w:r>
      <w:r>
        <w:rPr>
          <w:rtl w:val="true"/>
        </w:rPr>
        <w:t>פז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19235-03-13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אלכסנדר גרשר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Style14">
    <w:name w:val="כותרת עליונה תו"/>
    <w:basedOn w:val="DefaultParagraphFont"/>
    <w:qFormat/>
    <w:rPr>
      <w:rFonts w:ascii="David" w:hAnsi="David" w:eastAsia="David" w:cs="David"/>
      <w:sz w:val="24"/>
      <w:szCs w:val="24"/>
      <w:lang w:val="en-US" w:bidi="he-IL"/>
    </w:rPr>
  </w:style>
  <w:style w:type="character" w:styleId="Style15">
    <w:name w:val="כותרת תחתונה תו"/>
    <w:basedOn w:val="DefaultParagraphFont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402.a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19b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02.a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402.a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44" TargetMode="External"/><Relationship Id="rId24" Type="http://schemas.openxmlformats.org/officeDocument/2006/relationships/hyperlink" Target="http://www.nevo.co.il/law/70301/419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2.b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402.a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2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846313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585687" TargetMode="External"/><Relationship Id="rId40" Type="http://schemas.openxmlformats.org/officeDocument/2006/relationships/hyperlink" Target="http://www.nevo.co.il/case/7662228" TargetMode="External"/><Relationship Id="rId41" Type="http://schemas.openxmlformats.org/officeDocument/2006/relationships/hyperlink" Target="http://www.nevo.co.il/case/388745" TargetMode="External"/><Relationship Id="rId42" Type="http://schemas.openxmlformats.org/officeDocument/2006/relationships/hyperlink" Target="http://www.nevo.co.il/case/6120447" TargetMode="External"/><Relationship Id="rId43" Type="http://schemas.openxmlformats.org/officeDocument/2006/relationships/hyperlink" Target="http://www.nevo.co.il/case/6248567" TargetMode="External"/><Relationship Id="rId44" Type="http://schemas.openxmlformats.org/officeDocument/2006/relationships/hyperlink" Target="http://www.nevo.co.il/case/6038879" TargetMode="External"/><Relationship Id="rId45" Type="http://schemas.openxmlformats.org/officeDocument/2006/relationships/hyperlink" Target="http://www.nevo.co.il/case/5875603" TargetMode="External"/><Relationship Id="rId46" Type="http://schemas.openxmlformats.org/officeDocument/2006/relationships/hyperlink" Target="http://www.nevo.co.il/law/70301/402.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906249" TargetMode="External"/><Relationship Id="rId53" Type="http://schemas.openxmlformats.org/officeDocument/2006/relationships/hyperlink" Target="http://www.nevo.co.il/case/5608468" TargetMode="External"/><Relationship Id="rId54" Type="http://schemas.openxmlformats.org/officeDocument/2006/relationships/hyperlink" Target="http://www.nevo.co.il/case/5585687" TargetMode="External"/><Relationship Id="rId55" Type="http://schemas.openxmlformats.org/officeDocument/2006/relationships/hyperlink" Target="http://www.nevo.co.il/case/7662228" TargetMode="External"/><Relationship Id="rId56" Type="http://schemas.openxmlformats.org/officeDocument/2006/relationships/hyperlink" Target="http://www.nevo.co.il/case/388745" TargetMode="External"/><Relationship Id="rId57" Type="http://schemas.openxmlformats.org/officeDocument/2006/relationships/hyperlink" Target="http://www.nevo.co.il/case/6120447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i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d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j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4557935" TargetMode="External"/><Relationship Id="rId67" Type="http://schemas.openxmlformats.org/officeDocument/2006/relationships/hyperlink" Target="http://www.nevo.co.il/case/6780349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2014-05-01T09:54:00Z</dcterms:created>
  <dc:creator> </dc:creator>
  <dc:description/>
  <cp:keywords/>
  <dc:language>en-IL</dc:language>
  <cp:lastModifiedBy>yafit</cp:lastModifiedBy>
  <dcterms:modified xsi:type="dcterms:W3CDTF">2014-05-01T12:24:00Z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אלכסנדר גרשר;לידור ברחנין</vt:lpwstr>
  </property>
  <property fmtid="{D5CDD505-2E9C-101B-9397-08002B2CF9AE}" pid="4" name="CASESLISTTMP1">
    <vt:lpwstr>6846313;5585687:2;7662228:2;388745:2;6120447:2;6248567;6038879;5875603;5906249;5608468;4557935;6780349</vt:lpwstr>
  </property>
  <property fmtid="{D5CDD505-2E9C-101B-9397-08002B2CF9AE}" pid="5" name="CITY">
    <vt:lpwstr>מרכז</vt:lpwstr>
  </property>
  <property fmtid="{D5CDD505-2E9C-101B-9397-08002B2CF9AE}" pid="6" name="DATE">
    <vt:lpwstr>20140423</vt:lpwstr>
  </property>
  <property fmtid="{D5CDD505-2E9C-101B-9397-08002B2CF9AE}" pid="7" name="ISABSTRACT">
    <vt:lpwstr>Y</vt:lpwstr>
  </property>
  <property fmtid="{D5CDD505-2E9C-101B-9397-08002B2CF9AE}" pid="8" name="JUDGE">
    <vt:lpwstr>ק. רג'יניאנו</vt:lpwstr>
  </property>
  <property fmtid="{D5CDD505-2E9C-101B-9397-08002B2CF9AE}" pid="9" name="LAWLISTTMP1">
    <vt:lpwstr>70301/402.b:3;029:3;402.a:3;025:2;499.a.1:2;144.b:2;244:2;419b;031;040i:3;40ja:3;040d</vt:lpwstr>
  </property>
  <property fmtid="{D5CDD505-2E9C-101B-9397-08002B2CF9AE}" pid="10" name="NEWPARTA">
    <vt:lpwstr>19235</vt:lpwstr>
  </property>
  <property fmtid="{D5CDD505-2E9C-101B-9397-08002B2CF9AE}" pid="11" name="NEWPARTB">
    <vt:lpwstr>03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390020140423</vt:lpwstr>
  </property>
  <property fmtid="{D5CDD505-2E9C-101B-9397-08002B2CF9AE}" pid="17" name="TYPE_N_DATE">
    <vt:lpwstr>39020140423</vt:lpwstr>
  </property>
  <property fmtid="{D5CDD505-2E9C-101B-9397-08002B2CF9AE}" pid="18" name="WORDNUMPAGES">
    <vt:lpwstr>16</vt:lpwstr>
  </property>
</Properties>
</file>