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19384-05-16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אשהב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10"/>
                <w:szCs w:val="10"/>
              </w:rPr>
            </w:pPr>
            <w:r>
              <w:rPr>
                <w:rFonts w:cs="FrankRuehl"/>
                <w:sz w:val="10"/>
                <w:szCs w:val="10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636"/>
        <w:gridCol w:w="326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חנה מרים לומפ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636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אביטל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ריבנר</w:t>
            </w:r>
          </w:p>
        </w:tc>
        <w:tc>
          <w:tcPr>
            <w:tcW w:w="326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cs="Arial" w:ascii="Arial" w:hAnsi="Arial"/>
                <w:b/>
                <w:bCs/>
                <w:sz w:val="12"/>
                <w:szCs w:val="1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cs="Arial" w:ascii="Arial" w:hAnsi="Arial"/>
                <w:b/>
                <w:bCs/>
                <w:sz w:val="12"/>
                <w:szCs w:val="12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636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חוסאם אשהב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סוועאד</w:t>
            </w:r>
          </w:p>
        </w:tc>
        <w:tc>
          <w:tcPr>
            <w:tcW w:w="326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94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4" w:name="PsakDin"/>
            <w:bookmarkEnd w:id="4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257"/>
        <w:ind w:firstLine="422"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רקע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85" w:end="0"/>
        <w:contextualSpacing/>
        <w:jc w:val="both"/>
        <w:rPr>
          <w:rFonts w:ascii="Calibri" w:hAnsi="Calibri" w:cs="Calibri"/>
        </w:rPr>
      </w:pPr>
      <w:bookmarkStart w:id="5" w:name="ABSTRACT_START"/>
      <w:bookmarkEnd w:id="5"/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מכפירתו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hyperlink r:id="rId15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/>
      </w:pPr>
      <w:r>
        <w:rPr>
          <w:rFonts w:ascii="Calibri" w:hAnsi="Calibri" w:cs="Calibri"/>
          <w:rtl w:val="true"/>
        </w:rPr>
        <w:t>מעובדות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הרלבנטית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בקנייה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יוער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10.1.17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ascii="Calibri" w:hAnsi="Calibri" w:cs="Calibri"/>
          <w:rtl w:val="true"/>
        </w:rPr>
        <w:t xml:space="preserve"> 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סדר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הפלילי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hyperlink r:id="rId25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סדר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הדין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הפלילי</w:t>
        </w:r>
      </w:hyperlink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הוריתי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/>
      </w:pP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תבור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14.11.15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בקלנדיה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במסגרתן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מהמתפרעים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התקרבו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בקלנדיה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זהאדה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מחיסן</w:t>
      </w:r>
      <w:r>
        <w:rPr>
          <w:rtl w:val="true"/>
        </w:rPr>
        <w:t xml:space="preserve">)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₪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לזולתו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8.3.16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חרוב</w:t>
      </w:r>
      <w:r>
        <w:rPr>
          <w:rtl w:val="true"/>
        </w:rPr>
        <w:t xml:space="preserve">)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)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3,500</w:t>
      </w:r>
      <w:r>
        <w:rPr>
          <w:rtl w:val="true"/>
        </w:rPr>
        <w:t xml:space="preserve"> ₪. </w:t>
      </w:r>
      <w:r>
        <w:rPr>
          <w:rtl w:val="true"/>
        </w:rPr>
        <w:t>חרוב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₪.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לחרוב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9.3.16</w:t>
      </w:r>
      <w:r>
        <w:rPr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חרוב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הצדיק</w:t>
      </w:r>
      <w:r>
        <w:rPr>
          <w:rtl w:val="true"/>
        </w:rPr>
        <w:t xml:space="preserve">"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לזולתו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2" w:end="0"/>
        <w:contextualSpacing/>
        <w:jc w:val="both"/>
        <w:rPr>
          <w:b/>
          <w:bCs/>
          <w:u w:val="single"/>
        </w:rPr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יטענו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12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422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85" w:end="0"/>
        <w:contextualSpacing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מוסלמי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קלנדיה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וחודשיים</w:t>
      </w:r>
      <w:r>
        <w:rPr>
          <w:rtl w:val="true"/>
        </w:rPr>
        <w:t xml:space="preserve">. </w:t>
      </w:r>
      <w:r>
        <w:rPr>
          <w:rtl w:val="true"/>
        </w:rPr>
        <w:t>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טור</w:t>
      </w:r>
      <w:r>
        <w:rPr>
          <w:rtl w:val="true"/>
        </w:rPr>
        <w:t xml:space="preserve">"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אומה</w:t>
      </w:r>
      <w:r>
        <w:rPr>
          <w:rtl w:val="true"/>
        </w:rPr>
        <w:t xml:space="preserve">"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טור</w:t>
      </w:r>
      <w:r>
        <w:rPr>
          <w:rtl w:val="true"/>
        </w:rPr>
        <w:t xml:space="preserve">".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</w:t>
      </w:r>
      <w:r>
        <w:rPr>
          <w:rtl w:val="true"/>
        </w:rPr>
        <w:t xml:space="preserve">"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cs="Times New Roman"/>
          <w:rtl w:val="true"/>
        </w:rPr>
        <w:t xml:space="preserve"> </w:t>
      </w:r>
      <w:r>
        <w:rPr/>
        <w:t>16-25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  <w:r>
        <w:rPr>
          <w:rtl w:val="true"/>
        </w:rPr>
        <w:t>אבין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,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פנסיונרית</w:t>
      </w:r>
      <w:r>
        <w:rPr>
          <w:rtl w:val="true"/>
        </w:rPr>
        <w:t xml:space="preserve">,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תומכת</w:t>
      </w:r>
      <w:r>
        <w:rPr>
          <w:rtl w:val="true"/>
        </w:rPr>
        <w:t xml:space="preserve">, </w:t>
      </w:r>
      <w:r>
        <w:rPr>
          <w:rtl w:val="true"/>
        </w:rPr>
        <w:t>פתוחה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חונך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שבועית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הסוציואקונומי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, </w:t>
      </w:r>
      <w:r>
        <w:rPr>
          <w:rtl w:val="true"/>
        </w:rPr>
        <w:t>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ומתסכלת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הבוגרת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וורבליות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וקוגנטיביות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נטולת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והפיזיים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</w:t>
      </w:r>
      <w:r>
        <w:rPr>
          <w:rtl w:val="true"/>
        </w:rPr>
        <w:t>ו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שאופיינה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</w:t>
      </w:r>
      <w:r>
        <w:rPr>
          <w:rtl w:val="true"/>
        </w:rPr>
        <w:t>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425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425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85" w:end="0"/>
        <w:contextualSpacing/>
        <w:jc w:val="both"/>
        <w:rPr>
          <w:sz w:val="12"/>
          <w:szCs w:val="12"/>
        </w:rPr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לפיגוע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הרכבים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85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sz w:val="12"/>
          <w:szCs w:val="12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אוטומטיים</w:t>
      </w:r>
      <w:r>
        <w:rPr>
          <w:rtl w:val="true"/>
        </w:rPr>
        <w:t xml:space="preserve">) </w:t>
      </w:r>
      <w:r>
        <w:rPr>
          <w:rtl w:val="true"/>
        </w:rPr>
        <w:t>שמטרתם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. </w:t>
      </w:r>
      <w:r>
        <w:rPr>
          <w:rtl w:val="true"/>
        </w:rPr>
        <w:t>לראיה</w:t>
      </w:r>
      <w:r>
        <w:rPr>
          <w:rtl w:val="true"/>
        </w:rPr>
        <w:t xml:space="preserve">,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tl w:val="true"/>
        </w:rPr>
        <w:t xml:space="preserve">, </w:t>
      </w:r>
      <w:r>
        <w:rPr>
          <w:rtl w:val="true"/>
        </w:rPr>
        <w:t>משמע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tl w:val="true"/>
        </w:rPr>
        <w:t xml:space="preserve">.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ומתוכננים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הוציאו</w:t>
      </w:r>
      <w:r>
        <w:rPr>
          <w:rtl w:val="true"/>
        </w:rPr>
        <w:t xml:space="preserve">, </w:t>
      </w:r>
      <w:r>
        <w:rPr>
          <w:rtl w:val="true"/>
        </w:rPr>
        <w:t>חיפש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tl w:val="true"/>
        </w:rPr>
        <w:t xml:space="preserve">,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יימצא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sz w:val="12"/>
          <w:szCs w:val="12"/>
        </w:rPr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סטודנט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/>
      </w:pP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ו</w:t>
      </w:r>
      <w:r>
        <w:rPr>
          <w:rtl w:val="true"/>
        </w:rPr>
        <w:t>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</w:t>
      </w:r>
      <w:r>
        <w:rPr>
          <w:rtl w:val="true"/>
        </w:rPr>
        <w:t>א</w:t>
      </w:r>
      <w:r>
        <w:rPr>
          <w:rtl w:val="true"/>
        </w:rPr>
        <w:t>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אנרכיה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משליט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עגומה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שהתגלגלו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מהמציאות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י</w:t>
      </w:r>
      <w:r>
        <w:rPr>
          <w:rtl w:val="true"/>
        </w:rPr>
        <w:t>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sz w:val="12"/>
          <w:szCs w:val="12"/>
        </w:rPr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18.5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שסולדת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בשיקומו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sz w:val="12"/>
          <w:szCs w:val="12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sz w:val="12"/>
          <w:szCs w:val="12"/>
        </w:rPr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ובחיסכון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</w:t>
      </w:r>
      <w:r>
        <w:rPr>
          <w:rtl w:val="true"/>
        </w:rPr>
        <w:t>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לסיום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tl w:val="true"/>
        </w:rPr>
        <w:t xml:space="preserve">,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נורמאליים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/>
      </w:pP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וספורט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425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sz w:val="20"/>
          <w:szCs w:val="20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 w:before="0" w:after="0"/>
        <w:ind w:start="51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ההולם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כ המאשימה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כי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להגדיר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את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ולקבוע לכל אישום מתחם עונש הולם נפרד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למבחנים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המקובלים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כל </w:t>
      </w:r>
      <w:r>
        <w:rPr>
          <w:rFonts w:ascii="Calibri" w:hAnsi="Calibri" w:cs="Calibri"/>
          <w:rtl w:val="true"/>
        </w:rPr>
        <w:t>האישומים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ולקבוע להם מתחם עונש הולם אחד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85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85" w:end="0"/>
        <w:contextualSpacing/>
        <w:jc w:val="both"/>
        <w:rPr>
          <w:rFonts w:cs="Times New Roman"/>
        </w:rPr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ההדוק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אומץ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29/10/14</w:t>
      </w:r>
      <w:r>
        <w:rPr>
          <w:rtl w:val="true"/>
        </w:rPr>
        <w:t xml:space="preserve">) </w:t>
      </w:r>
      <w:r>
        <w:rPr>
          <w:rtl w:val="true"/>
        </w:rPr>
        <w:t>והפסיקה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4316/13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חג</w:t>
      </w:r>
      <w:r>
        <w:rPr>
          <w:rtl w:val="true"/>
        </w:rPr>
        <w:t>'</w:t>
      </w:r>
      <w:r>
        <w:rPr>
          <w:rtl w:val="true"/>
        </w:rPr>
        <w:t>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30/10/14</w:t>
      </w:r>
      <w:r>
        <w:rPr>
          <w:rtl w:val="true"/>
        </w:rPr>
        <w:t xml:space="preserve">),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2519/14</w:t>
        </w:r>
      </w:hyperlink>
      <w:r>
        <w:rPr>
          <w:rtl w:val="true"/>
        </w:rPr>
        <w:t xml:space="preserve"> </w:t>
      </w:r>
      <w:r>
        <w:rPr>
          <w:rtl w:val="true"/>
        </w:rPr>
        <w:t>קיעאן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29/12/14</w:t>
      </w:r>
      <w:r>
        <w:rPr>
          <w:rtl w:val="true"/>
        </w:rPr>
        <w:t xml:space="preserve">),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4289/14</w:t>
        </w:r>
      </w:hyperlink>
      <w:r>
        <w:rPr>
          <w:rtl w:val="true"/>
        </w:rPr>
        <w:t xml:space="preserve"> </w:t>
      </w:r>
      <w:r>
        <w:rPr>
          <w:rtl w:val="true"/>
        </w:rPr>
        <w:t>חנונה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21/1/15</w:t>
      </w:r>
      <w:r>
        <w:rPr>
          <w:rtl w:val="true"/>
        </w:rPr>
        <w:t xml:space="preserve">) </w:t>
      </w:r>
      <w:r>
        <w:rPr>
          <w:rtl w:val="true"/>
        </w:rPr>
        <w:t>ו</w:t>
      </w:r>
      <w:hyperlink r:id="rId3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4760/14</w:t>
        </w:r>
      </w:hyperlink>
      <w:r>
        <w:rPr>
          <w:rtl w:val="true"/>
        </w:rPr>
        <w:t xml:space="preserve"> </w:t>
      </w:r>
      <w:r>
        <w:rPr>
          <w:rtl w:val="true"/>
        </w:rPr>
        <w:t>אדוארד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קיסלמן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7/5/15</w:t>
      </w:r>
      <w:r>
        <w:rPr>
          <w:rtl w:val="true"/>
        </w:rPr>
        <w:t xml:space="preserve">))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1261/15</w:t>
        </w:r>
      </w:hyperlink>
      <w:r>
        <w:rPr>
          <w:rtl w:val="true"/>
        </w:rPr>
        <w:t xml:space="preserve"> </w:t>
      </w:r>
      <w:r>
        <w:rPr>
          <w:rtl w:val="true"/>
        </w:rPr>
        <w:t>מד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3/9/15</w:t>
      </w:r>
      <w:r>
        <w:rPr>
          <w:rtl w:val="true"/>
        </w:rPr>
        <w:t xml:space="preserve">),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מבחני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ההדוק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hanging="567" w:start="567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overflowPunct w:val="false"/>
        <w:autoSpaceDE w:val="false"/>
        <w:spacing w:lineRule="auto" w:line="360" w:before="120" w:after="120"/>
        <w:ind w:start="1440" w:end="1282"/>
        <w:jc w:val="both"/>
        <w:rPr>
          <w:rFonts w:ascii="Arial TUR;Arial" w:hAnsi="Arial TUR;Arial" w:cs="Arial TUR;Arial"/>
          <w:b/>
          <w:bCs/>
          <w:spacing w:val="10"/>
        </w:rPr>
      </w:pPr>
      <w:r>
        <w:rPr>
          <w:b/>
          <w:bCs/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כדי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לעמוד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עוצמת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הקשר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שבין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העבירות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שׂוּמה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בית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המשפט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לעמוד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נסיבותיו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העובדתיות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העניין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שלפניו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ולבחון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אם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יש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בהן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כדי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להצביע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קשר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הדוק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בין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העבירות</w:t>
      </w:r>
      <w:r>
        <w:rPr>
          <w:b/>
          <w:bCs/>
          <w:spacing w:val="10"/>
          <w:rtl w:val="true"/>
        </w:rPr>
        <w:t>.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נסיבות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עובדתיות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אלה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מהוות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Cs/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מבחני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עזר</w:t>
      </w:r>
      <w:r>
        <w:rPr>
          <w:b/>
          <w:bCs/>
          <w:spacing w:val="10"/>
          <w:rtl w:val="true"/>
        </w:rPr>
        <w:t>"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לקביעת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עוצמת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הקשר</w:t>
      </w:r>
      <w:r>
        <w:rPr>
          <w:b/>
          <w:bCs/>
          <w:spacing w:val="10"/>
          <w:rtl w:val="true"/>
        </w:rPr>
        <w:t>.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במסגרת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זו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ניתן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לבחון</w:t>
      </w:r>
      <w:r>
        <w:rPr>
          <w:b/>
          <w:bCs/>
          <w:spacing w:val="10"/>
          <w:rtl w:val="true"/>
        </w:rPr>
        <w:t>,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למשל</w:t>
      </w:r>
      <w:r>
        <w:rPr>
          <w:b/>
          <w:bCs/>
          <w:spacing w:val="10"/>
          <w:rtl w:val="true"/>
        </w:rPr>
        <w:t>,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האם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ביצוען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העבירות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מאופיין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בתכנון</w:t>
      </w:r>
      <w:r>
        <w:rPr>
          <w:b/>
          <w:bCs/>
          <w:spacing w:val="10"/>
          <w:rtl w:val="true"/>
        </w:rPr>
        <w:t xml:space="preserve">; </w:t>
      </w:r>
      <w:r>
        <w:rPr>
          <w:b/>
          <w:b/>
          <w:bCs/>
          <w:spacing w:val="10"/>
          <w:rtl w:val="true"/>
        </w:rPr>
        <w:t>האם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ניתן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להצביע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שיטתיות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בביצוע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העבירות</w:t>
      </w:r>
      <w:r>
        <w:rPr>
          <w:b/>
          <w:bCs/>
          <w:spacing w:val="10"/>
          <w:rtl w:val="true"/>
        </w:rPr>
        <w:t>;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האם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העבירות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התרחשו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בסמיכות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זמן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או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מקום</w:t>
      </w:r>
      <w:r>
        <w:rPr>
          <w:b/>
          <w:bCs/>
          <w:spacing w:val="10"/>
          <w:rtl w:val="true"/>
        </w:rPr>
        <w:t>;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האם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ביצועה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עבירה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אחת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נועד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לאפשר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את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ביצועה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העבירה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האחרת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או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את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ההימלטות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לאחר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ביצועה</w:t>
      </w:r>
      <w:r>
        <w:rPr>
          <w:b/>
          <w:bCs/>
          <w:spacing w:val="10"/>
          <w:rtl w:val="true"/>
        </w:rPr>
        <w:t>,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וכיוצא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באלו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נסיבות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עובדתיות</w:t>
      </w:r>
      <w:r>
        <w:rPr>
          <w:b/>
          <w:bCs/>
          <w:spacing w:val="10"/>
          <w:rtl w:val="true"/>
        </w:rPr>
        <w:t>.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קיומה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נסיבה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אחת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או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יותר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מנסיבות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אלו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Cs/>
          <w:spacing w:val="10"/>
          <w:rtl w:val="true"/>
        </w:rPr>
        <w:t>(</w:t>
      </w:r>
      <w:r>
        <w:rPr>
          <w:b/>
          <w:b/>
          <w:bCs/>
          <w:spacing w:val="10"/>
          <w:rtl w:val="true"/>
        </w:rPr>
        <w:t>ואין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זו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רשימה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סגורה</w:t>
      </w:r>
      <w:r>
        <w:rPr>
          <w:b/>
          <w:bCs/>
          <w:spacing w:val="10"/>
          <w:rtl w:val="true"/>
        </w:rPr>
        <w:t>)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עשוי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להעיד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קשר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הדוק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בין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העבירות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השונות</w:t>
      </w:r>
      <w:r>
        <w:rPr>
          <w:b/>
          <w:bCs/>
          <w:spacing w:val="10"/>
          <w:rtl w:val="true"/>
        </w:rPr>
        <w:t>,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המלמד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כי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באירוע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אחד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עסקינן</w:t>
      </w:r>
      <w:r>
        <w:rPr>
          <w:b/>
          <w:bCs/>
          <w:spacing w:val="10"/>
          <w:rtl w:val="true"/>
        </w:rPr>
        <w:t>.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בבחינת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הנסיבות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העובדתיות</w:t>
      </w:r>
      <w:r>
        <w:rPr>
          <w:b/>
          <w:bCs/>
          <w:spacing w:val="10"/>
          <w:rtl w:val="true"/>
        </w:rPr>
        <w:t>,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מן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ההכרח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לבית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המשפט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להעמיד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לנגד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עיניו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את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השאלה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האם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השקפה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העבירות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כעל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כמה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אירועים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תהא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מלאכותית</w:t>
      </w:r>
      <w:r>
        <w:rPr>
          <w:b/>
          <w:bCs/>
          <w:spacing w:val="10"/>
          <w:rtl w:val="true"/>
        </w:rPr>
        <w:t>,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באופן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שיגרע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ממהות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העניין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בכללותו</w:t>
      </w:r>
      <w:r>
        <w:rPr>
          <w:b/>
          <w:bCs/>
          <w:spacing w:val="10"/>
          <w:rtl w:val="true"/>
        </w:rPr>
        <w:t>,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או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שלא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ישקף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את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סיפור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המעשה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כהווייתו</w:t>
      </w:r>
      <w:r>
        <w:rPr>
          <w:b/>
          <w:bCs/>
          <w:spacing w:val="10"/>
          <w:rtl w:val="true"/>
        </w:rPr>
        <w:t>."</w:t>
      </w:r>
    </w:p>
    <w:p>
      <w:pPr>
        <w:pStyle w:val="Normal"/>
        <w:ind w:end="0"/>
        <w:jc w:val="start"/>
        <w:rPr>
          <w:rFonts w:ascii="Arial TUR;Arial" w:hAnsi="Arial TUR;Arial" w:cs="Times New Roman"/>
          <w:b/>
          <w:bCs/>
          <w:spacing w:val="10"/>
          <w:sz w:val="22"/>
          <w:szCs w:val="22"/>
        </w:rPr>
      </w:pPr>
      <w:r>
        <w:rPr>
          <w:rFonts w:cs="Times New Roman" w:ascii="Arial TUR;Arial" w:hAnsi="Arial TUR;Arial"/>
          <w:b/>
          <w:bCs/>
          <w:spacing w:val="10"/>
          <w:sz w:val="22"/>
          <w:szCs w:val="2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85" w:end="0"/>
        <w:contextualSpacing/>
        <w:jc w:val="both"/>
        <w:rPr/>
      </w:pP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ברצף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שהתרחשו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 כארבעה 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מרצף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אחד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ascii="Calibri" w:hAnsi="Calibri"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, </w:t>
      </w:r>
      <w:r>
        <w:rPr>
          <w:rFonts w:ascii="Calibri" w:hAnsi="Calibri" w:cs="Calibri"/>
          <w:rtl w:val="true"/>
        </w:rPr>
        <w:t>ועל אף ש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בריבוי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ובריבוי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85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782" w:end="0"/>
        <w:contextualSpacing/>
        <w:jc w:val="both"/>
        <w:rPr/>
      </w:pPr>
      <w:r>
        <w:rPr>
          <w:rFonts w:ascii="Arial" w:hAnsi="Arial" w:cs="Arial"/>
          <w:rtl w:val="true"/>
        </w:rPr>
        <w:t xml:space="preserve">בהתאם 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קרי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autoSpaceDE w:val="false"/>
        <w:spacing w:lineRule="auto" w:line="360" w:before="100" w:after="100"/>
        <w:ind w:hanging="360" w:start="785" w:end="0"/>
        <w:contextualSpacing/>
        <w:jc w:val="both"/>
        <w:rPr>
          <w:b/>
          <w:bCs/>
        </w:rPr>
      </w:pPr>
      <w:r>
        <w:rPr>
          <w:rFonts w:ascii="David;David" w:hAnsi="David;David"/>
          <w:b/>
          <w:b/>
          <w:bCs/>
          <w:rtl w:val="true"/>
        </w:rPr>
        <w:t>הערכים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החברתיים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עליהם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יש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להגן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מפני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אלה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המבצעים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עבירות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בנשק</w:t>
      </w:r>
      <w:r>
        <w:rPr>
          <w:rFonts w:cs="David;David" w:ascii="David;David" w:hAnsi="David;David"/>
          <w:rtl w:val="true"/>
        </w:rPr>
        <w:t xml:space="preserve">, </w:t>
      </w:r>
      <w:r>
        <w:rPr>
          <w:rFonts w:ascii="David;David" w:hAnsi="David;David"/>
          <w:rtl w:val="true"/>
          <w:lang w:eastAsia="he-IL"/>
        </w:rPr>
        <w:t>הם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הגנה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על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שלום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הציבור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וביטחונו</w:t>
      </w:r>
      <w:r>
        <w:rPr>
          <w:rFonts w:cs="David;David" w:ascii="David;David" w:hAnsi="David;David"/>
          <w:rtl w:val="true"/>
          <w:lang w:eastAsia="he-IL"/>
        </w:rPr>
        <w:t xml:space="preserve">, </w:t>
      </w:r>
      <w:r>
        <w:rPr>
          <w:rFonts w:ascii="David;David" w:hAnsi="David;David"/>
          <w:rtl w:val="true"/>
          <w:lang w:eastAsia="he-IL"/>
        </w:rPr>
        <w:t>שמירה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על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שלמות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גופו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ורכושו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של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אדם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ומניעת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פגיעה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משמעותית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בו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כתוצאה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משימוש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בנשק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חם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על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ידי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מי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שאינו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מיומן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בכך</w:t>
      </w:r>
      <w:r>
        <w:rPr>
          <w:rFonts w:cs="David;David" w:ascii="David;David" w:hAnsi="David;David"/>
          <w:rtl w:val="true"/>
          <w:lang w:eastAsia="he-IL"/>
        </w:rPr>
        <w:t xml:space="preserve">. </w:t>
      </w:r>
      <w:r>
        <w:rPr>
          <w:rFonts w:ascii="David;David" w:hAnsi="David;David"/>
          <w:rtl w:val="true"/>
          <w:lang w:eastAsia="he-IL"/>
        </w:rPr>
        <w:t>בית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המשפט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העליון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חזר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פעם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אחר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פעם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על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החומרה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הגלומה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בעבירות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נשק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ועל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פוטנציאל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הפגיעה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בנפש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וברכוש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שעלולים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להיגרם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כתוצאה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מהשימוש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בו</w:t>
      </w:r>
      <w:r>
        <w:rPr>
          <w:rFonts w:cs="David;David" w:ascii="David;David" w:hAnsi="David;David"/>
          <w:rtl w:val="true"/>
          <w:lang w:eastAsia="he-IL"/>
        </w:rPr>
        <w:t xml:space="preserve">. </w:t>
      </w:r>
      <w:r>
        <w:rPr>
          <w:rFonts w:ascii="David;David" w:hAnsi="David;David"/>
          <w:rtl w:val="true"/>
          <w:lang w:eastAsia="he-IL"/>
        </w:rPr>
        <w:t>אשר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לסוחרים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בנשק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הדגיש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בית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המשפט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העליון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כי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יש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לראות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במשנה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חומרה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את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מעשיהם</w:t>
      </w:r>
      <w:r>
        <w:rPr>
          <w:rFonts w:cs="David;David" w:ascii="David;David" w:hAnsi="David;David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</w:rPr>
        <w:t xml:space="preserve">ועל כן יש </w:t>
      </w:r>
      <w:r>
        <w:rPr>
          <w:rFonts w:ascii="Calibri" w:hAnsi="Calibri" w:cs="Calibri"/>
          <w:rtl w:val="true"/>
        </w:rPr>
        <w:t>להחמיר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בענישתם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בפרט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319/11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יאסין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5.12.11</w:t>
      </w:r>
      <w:r>
        <w:rPr>
          <w:rFonts w:cs="Arial" w:ascii="Arial" w:hAnsi="Arial"/>
          <w:rtl w:val="true"/>
        </w:rPr>
        <w:t xml:space="preserve">), 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1768/14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גנאיים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22.7.14</w:t>
      </w:r>
      <w:r>
        <w:rPr>
          <w:rFonts w:cs="Arial" w:ascii="Arial" w:hAnsi="Arial"/>
          <w:rtl w:val="true"/>
        </w:rPr>
        <w:t xml:space="preserve">), 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7317/13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19.5.14</w:t>
      </w:r>
      <w:r>
        <w:rPr>
          <w:rFonts w:cs="Arial" w:ascii="Arial" w:hAnsi="Arial"/>
          <w:rtl w:val="true"/>
        </w:rPr>
        <w:t xml:space="preserve">), 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8280/15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גולאני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28.3.16</w:t>
      </w:r>
      <w:r>
        <w:rPr>
          <w:rFonts w:cs="Calibri" w:ascii="Calibri" w:hAnsi="Calibri"/>
          <w:rtl w:val="true"/>
        </w:rPr>
        <w:t>)</w:t>
      </w:r>
      <w:r>
        <w:rPr>
          <w:rFonts w:cs="Arial" w:ascii="Arial" w:hAnsi="Arial"/>
          <w:rtl w:val="true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פוגעת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קדושת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ושלמות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גופו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Arial" w:hAnsi="Arial" w:cs="Arial"/>
          <w:b/>
          <w:bCs/>
          <w:sz w:val="12"/>
          <w:szCs w:val="12"/>
        </w:rPr>
      </w:pPr>
      <w:r>
        <w:rPr>
          <w:rFonts w:cs="Arial" w:ascii="Arial" w:hAnsi="Arial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785" w:end="0"/>
        <w:contextualSpacing/>
        <w:jc w:val="both"/>
        <w:rPr>
          <w:rFonts w:ascii="David;David" w:hAnsi="David;David" w:cs="David;David"/>
        </w:rPr>
      </w:pPr>
      <w:r>
        <w:rPr>
          <w:rFonts w:ascii="Franklin Gothic Medium" w:hAnsi="Franklin Gothic Medium" w:cs="Franklin Gothic Medium"/>
          <w:rtl w:val="true"/>
        </w:rPr>
        <w:t>נשק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שהוא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מטבעו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כלי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קטלני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עלול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לעבור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מיד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ליד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ולהגיע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לידי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גורמים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שיבצעו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באמצעותו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עבירות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פליליות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חמורות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ואף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לידי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ארגוני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טרור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שיעשו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שימוש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באירועי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טרור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cs="Franklin Gothic Medium" w:ascii="Franklin Gothic Medium" w:hAnsi="Franklin Gothic Medium"/>
          <w:rtl w:val="true"/>
        </w:rPr>
        <w:t>(</w:t>
      </w:r>
      <w:r>
        <w:rPr>
          <w:rFonts w:ascii="Franklin Gothic Medium" w:hAnsi="Franklin Gothic Medium" w:cs="Franklin Gothic Medium"/>
          <w:rtl w:val="true"/>
        </w:rPr>
        <w:t>כפי שאכן אירע במקרה שלפני כאמור באישום החמישי</w:t>
      </w:r>
      <w:r>
        <w:rPr>
          <w:rFonts w:cs="Franklin Gothic Medium" w:ascii="Franklin Gothic Medium" w:hAnsi="Franklin Gothic Medium"/>
          <w:rtl w:val="true"/>
        </w:rPr>
        <w:t>)</w:t>
      </w:r>
      <w:r>
        <w:rPr>
          <w:rFonts w:cs="Franklin Gothic Medium" w:ascii="Franklin Gothic Medium" w:hAnsi="Franklin Gothic Medium"/>
          <w:rtl w:val="true"/>
        </w:rPr>
        <w:t xml:space="preserve">. </w:t>
      </w:r>
      <w:r>
        <w:rPr>
          <w:rFonts w:ascii="Franklin Gothic Medium" w:hAnsi="Franklin Gothic Medium" w:cs="Franklin Gothic Medium"/>
          <w:rtl w:val="true"/>
        </w:rPr>
        <w:t>על</w:t>
      </w:r>
      <w:r>
        <w:rPr>
          <w:rFonts w:cs="Franklin Gothic Medium" w:ascii="Franklin Gothic Medium" w:hAnsi="Franklin Gothic Medium"/>
          <w:rtl w:val="true"/>
        </w:rPr>
        <w:t>-</w:t>
      </w:r>
      <w:r>
        <w:rPr>
          <w:rFonts w:ascii="Franklin Gothic Medium" w:hAnsi="Franklin Gothic Medium" w:cs="Franklin Gothic Medium"/>
          <w:rtl w:val="true"/>
        </w:rPr>
        <w:t>כן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פוטנציאל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הסיכון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הנשקף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מהסחר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מחייב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הטלת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ענישה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מחמירה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ומרתיעה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אף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אם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מבצעי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העבירות</w:t>
      </w:r>
      <w:r>
        <w:rPr>
          <w:rFonts w:ascii="Franklin Gothic Medium" w:hAnsi="Franklin Gothic Medium" w:cs="Franklin Gothic Medium"/>
          <w:rtl w:val="true"/>
        </w:rPr>
        <w:t xml:space="preserve"> – </w:t>
      </w:r>
      <w:r>
        <w:rPr>
          <w:rFonts w:ascii="Franklin Gothic Medium" w:hAnsi="Franklin Gothic Medium" w:cs="Franklin Gothic Medium"/>
          <w:rtl w:val="true"/>
        </w:rPr>
        <w:t>בחוליות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השונות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בשרשרת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העברת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הנשק</w:t>
      </w:r>
      <w:r>
        <w:rPr>
          <w:rFonts w:ascii="Franklin Gothic Medium" w:hAnsi="Franklin Gothic Medium" w:cs="Franklin Gothic Medium"/>
          <w:rtl w:val="true"/>
        </w:rPr>
        <w:t xml:space="preserve"> – </w:t>
      </w:r>
      <w:r>
        <w:rPr>
          <w:rFonts w:ascii="Franklin Gothic Medium" w:hAnsi="Franklin Gothic Medium" w:cs="Franklin Gothic Medium"/>
          <w:rtl w:val="true"/>
        </w:rPr>
        <w:t>אינם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מודעים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לתכלית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השימוש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cs="Franklin Gothic Medium" w:ascii="Franklin Gothic Medium" w:hAnsi="Franklin Gothic Medium"/>
          <w:rtl w:val="true"/>
        </w:rPr>
        <w:t>(</w:t>
      </w:r>
      <w:r>
        <w:rPr>
          <w:rFonts w:ascii="Franklin Gothic Medium" w:hAnsi="Franklin Gothic Medium" w:cs="Franklin Gothic Medium"/>
          <w:rtl w:val="true"/>
        </w:rPr>
        <w:t>כפי שהנאשם לא היה מודע לכך</w:t>
      </w:r>
      <w:r>
        <w:rPr>
          <w:rFonts w:cs="Franklin Gothic Medium" w:ascii="Franklin Gothic Medium" w:hAnsi="Franklin Gothic Medium"/>
          <w:rtl w:val="true"/>
        </w:rPr>
        <w:t>)</w:t>
      </w:r>
      <w:r>
        <w:rPr>
          <w:rFonts w:cs="Franklin Gothic Medium" w:ascii="Franklin Gothic Medium" w:hAnsi="Franklin Gothic Medium"/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מוצדק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. </w:t>
      </w:r>
      <w:r>
        <w:rPr>
          <w:rFonts w:ascii="David;David" w:hAnsi="David;David"/>
          <w:rtl w:val="true"/>
          <w:lang w:eastAsia="he-IL"/>
        </w:rPr>
        <w:t>כב</w:t>
      </w:r>
      <w:r>
        <w:rPr>
          <w:rFonts w:cs="David;David" w:ascii="David;David" w:hAnsi="David;David"/>
          <w:rtl w:val="true"/>
          <w:lang w:eastAsia="he-IL"/>
        </w:rPr>
        <w:t xml:space="preserve">' </w:t>
      </w:r>
      <w:r>
        <w:rPr>
          <w:rFonts w:ascii="David;David" w:hAnsi="David;David"/>
          <w:rtl w:val="true"/>
          <w:lang w:eastAsia="he-IL"/>
        </w:rPr>
        <w:t>השופט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זילברטל</w:t>
      </w:r>
      <w:r>
        <w:rPr>
          <w:rFonts w:ascii="David;David" w:hAnsi="David;David"/>
          <w:rtl w:val="true"/>
          <w:lang w:eastAsia="he-IL"/>
        </w:rPr>
        <w:t xml:space="preserve">  </w:t>
      </w:r>
      <w:r>
        <w:rPr>
          <w:rFonts w:ascii="David;David" w:hAnsi="David;David"/>
          <w:rtl w:val="true"/>
          <w:lang w:eastAsia="he-IL"/>
        </w:rPr>
        <w:t>חזר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על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כך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ב</w:t>
      </w:r>
      <w:hyperlink r:id="rId38">
        <w:r>
          <w:rPr>
            <w:rStyle w:val="Hyperlink"/>
            <w:rFonts w:ascii="David;David" w:hAnsi="David;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;David" w:ascii="David;David" w:hAnsi="David;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;David" w:hAnsi="David;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;David" w:ascii="David;David" w:hAnsi="David;David"/>
            <w:color w:val="0000FF"/>
            <w:u w:val="single"/>
            <w:lang w:eastAsia="he-IL"/>
          </w:rPr>
          <w:t>6989/13</w:t>
        </w:r>
      </w:hyperlink>
      <w:r>
        <w:rPr>
          <w:rFonts w:cs="David;David"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b/>
          <w:b/>
          <w:bCs/>
          <w:rtl w:val="true"/>
          <w:lang w:eastAsia="he-IL"/>
        </w:rPr>
        <w:t>פרח</w:t>
      </w:r>
      <w:r>
        <w:rPr>
          <w:rFonts w:ascii="David;David" w:hAnsi="David;David"/>
          <w:b/>
          <w:b/>
          <w:bCs/>
          <w:rtl w:val="true"/>
          <w:lang w:eastAsia="he-IL"/>
        </w:rPr>
        <w:t xml:space="preserve"> </w:t>
      </w:r>
      <w:r>
        <w:rPr>
          <w:rFonts w:ascii="David;David" w:hAnsi="David;David"/>
          <w:b/>
          <w:b/>
          <w:bCs/>
          <w:rtl w:val="true"/>
          <w:lang w:eastAsia="he-IL"/>
        </w:rPr>
        <w:t>נ</w:t>
      </w:r>
      <w:r>
        <w:rPr>
          <w:rFonts w:cs="David;David" w:ascii="David;David" w:hAnsi="David;David"/>
          <w:b/>
          <w:bCs/>
          <w:rtl w:val="true"/>
          <w:lang w:eastAsia="he-IL"/>
        </w:rPr>
        <w:t xml:space="preserve">' </w:t>
      </w:r>
      <w:r>
        <w:rPr>
          <w:rFonts w:ascii="David;David" w:hAnsi="David;David"/>
          <w:b/>
          <w:b/>
          <w:bCs/>
          <w:rtl w:val="true"/>
          <w:lang w:eastAsia="he-IL"/>
        </w:rPr>
        <w:t>מדינת</w:t>
      </w:r>
      <w:r>
        <w:rPr>
          <w:rFonts w:ascii="David;David" w:hAnsi="David;David"/>
          <w:b/>
          <w:b/>
          <w:bCs/>
          <w:rtl w:val="true"/>
          <w:lang w:eastAsia="he-IL"/>
        </w:rPr>
        <w:t xml:space="preserve"> </w:t>
      </w:r>
      <w:r>
        <w:rPr>
          <w:rFonts w:ascii="David;David" w:hAnsi="David;David"/>
          <w:b/>
          <w:b/>
          <w:bCs/>
          <w:rtl w:val="true"/>
          <w:lang w:eastAsia="he-IL"/>
        </w:rPr>
        <w:t>ישראל</w:t>
      </w:r>
      <w:r>
        <w:rPr>
          <w:rFonts w:ascii="David;David" w:hAnsi="David;David"/>
          <w:b/>
          <w:b/>
          <w:bCs/>
          <w:rtl w:val="true"/>
          <w:lang w:eastAsia="he-IL"/>
        </w:rPr>
        <w:t xml:space="preserve"> </w:t>
      </w:r>
      <w:r>
        <w:rPr>
          <w:rFonts w:cs="David;David" w:ascii="David;David" w:hAnsi="David;David"/>
          <w:rtl w:val="true"/>
          <w:lang w:eastAsia="he-IL"/>
        </w:rPr>
        <w:t>(</w:t>
      </w:r>
      <w:r>
        <w:rPr>
          <w:rFonts w:ascii="David;David" w:hAnsi="David;David"/>
          <w:rtl w:val="true"/>
          <w:lang w:eastAsia="he-IL"/>
        </w:rPr>
        <w:t>מיום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cs="David;David" w:ascii="David;David" w:hAnsi="David;David"/>
          <w:lang w:eastAsia="he-IL"/>
        </w:rPr>
        <w:t>25.2.14</w:t>
      </w:r>
      <w:r>
        <w:rPr>
          <w:rFonts w:cs="David;David" w:ascii="David;David" w:hAnsi="David;David"/>
          <w:rtl w:val="true"/>
          <w:lang w:eastAsia="he-IL"/>
        </w:rPr>
        <w:t xml:space="preserve">): </w:t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rFonts w:ascii="David;David" w:hAnsi="David;David" w:cs="David;David"/>
          <w:b/>
          <w:bCs/>
          <w:sz w:val="12"/>
          <w:szCs w:val="12"/>
        </w:rPr>
      </w:pPr>
      <w:r>
        <w:rPr>
          <w:rFonts w:cs="David;David" w:ascii="David;David" w:hAnsi="David;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/>
      </w:pPr>
      <w:r>
        <w:rPr>
          <w:rFonts w:cs="David;David" w:ascii="David;David" w:hAnsi="David;David"/>
          <w:b/>
          <w:bCs/>
          <w:rtl w:val="true"/>
        </w:rPr>
        <w:t>"</w:t>
      </w:r>
      <w:r>
        <w:rPr>
          <w:rFonts w:ascii="David;David" w:hAnsi="David;David"/>
          <w:b/>
          <w:b/>
          <w:bCs/>
          <w:rtl w:val="true"/>
        </w:rPr>
        <w:t>בית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משפט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זה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חזר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לא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אחת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על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הסכנה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הרבה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הטמונה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בעבירות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נשק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cs="David;David" w:ascii="David;David" w:hAnsi="David;David"/>
          <w:b/>
          <w:bCs/>
          <w:rtl w:val="true"/>
        </w:rPr>
        <w:t>"</w:t>
      </w:r>
      <w:r>
        <w:rPr>
          <w:rFonts w:ascii="David;David" w:hAnsi="David;David"/>
          <w:b/>
          <w:b/>
          <w:bCs/>
          <w:rtl w:val="true"/>
        </w:rPr>
        <w:t>בעיקר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בשל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כך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שעבירות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מסוג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זה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מקימות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פוטנציאל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להסלמה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עבריינית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ויוצרות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סיכון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ממשי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וחמור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לשלום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הציבור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וביטחונו</w:t>
      </w:r>
      <w:r>
        <w:rPr>
          <w:rFonts w:cs="David;David" w:ascii="David;David" w:hAnsi="David;David"/>
          <w:b/>
          <w:bCs/>
          <w:rtl w:val="true"/>
        </w:rPr>
        <w:t>" (</w:t>
      </w:r>
      <w:hyperlink r:id="rId39">
        <w:r>
          <w:rPr>
            <w:rStyle w:val="Hyperlink"/>
            <w:rFonts w:ascii="David;David" w:hAnsi="David;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;David" w:ascii="David;David" w:hAnsi="David;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;David" w:hAnsi="David;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David" w:ascii="David;David" w:hAnsi="David;David"/>
            <w:b/>
            <w:bCs/>
            <w:color w:val="0000FF"/>
            <w:u w:val="single"/>
          </w:rPr>
          <w:t>3156/11</w:t>
        </w:r>
      </w:hyperlink>
      <w:r>
        <w:rPr>
          <w:rFonts w:cs="David;David" w:ascii="David;David" w:hAnsi="David;David"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זראיעה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נ</w:t>
      </w:r>
      <w:r>
        <w:rPr>
          <w:rFonts w:cs="David;David" w:ascii="David;David" w:hAnsi="David;David"/>
          <w:b/>
          <w:bCs/>
          <w:rtl w:val="true"/>
        </w:rPr>
        <w:t xml:space="preserve">' </w:t>
      </w:r>
      <w:r>
        <w:rPr>
          <w:rFonts w:ascii="David;David" w:hAnsi="David;David"/>
          <w:b/>
          <w:b/>
          <w:bCs/>
          <w:rtl w:val="true"/>
        </w:rPr>
        <w:t>מדינת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ישראל</w:t>
      </w:r>
      <w:r>
        <w:rPr>
          <w:rFonts w:cs="David;David" w:ascii="David;David" w:hAnsi="David;David"/>
          <w:b/>
          <w:bCs/>
          <w:rtl w:val="true"/>
        </w:rPr>
        <w:t xml:space="preserve">, </w:t>
      </w:r>
      <w:r>
        <w:rPr>
          <w:rFonts w:ascii="David;David" w:hAnsi="David;David"/>
          <w:b/>
          <w:b/>
          <w:bCs/>
          <w:rtl w:val="true"/>
        </w:rPr>
        <w:t>פסקה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cs="David;David" w:ascii="David;David" w:hAnsi="David;David"/>
          <w:b/>
          <w:bCs/>
        </w:rPr>
        <w:t>5</w:t>
      </w:r>
      <w:r>
        <w:rPr>
          <w:rFonts w:cs="David;David" w:ascii="David;David" w:hAnsi="David;David"/>
          <w:b/>
          <w:bCs/>
          <w:rtl w:val="true"/>
        </w:rPr>
        <w:t xml:space="preserve"> (</w:t>
      </w:r>
      <w:r>
        <w:rPr>
          <w:rFonts w:cs="David;David" w:ascii="David;David" w:hAnsi="David;David"/>
          <w:b/>
          <w:bCs/>
        </w:rPr>
        <w:t>21.02.2012</w:t>
      </w:r>
      <w:r>
        <w:rPr>
          <w:rFonts w:cs="David;David" w:ascii="David;David" w:hAnsi="David;David"/>
          <w:b/>
          <w:bCs/>
          <w:rtl w:val="true"/>
        </w:rPr>
        <w:t xml:space="preserve">)). </w:t>
      </w:r>
      <w:r>
        <w:rPr>
          <w:rFonts w:ascii="David;David" w:hAnsi="David;David"/>
          <w:b/>
          <w:b/>
          <w:bCs/>
          <w:rtl w:val="true"/>
        </w:rPr>
        <w:t>בהתאם</w:t>
      </w:r>
      <w:r>
        <w:rPr>
          <w:rFonts w:cs="David;David" w:ascii="David;David" w:hAnsi="David;David"/>
          <w:b/>
          <w:bCs/>
          <w:rtl w:val="true"/>
        </w:rPr>
        <w:t xml:space="preserve">, </w:t>
      </w:r>
      <w:r>
        <w:rPr>
          <w:rFonts w:ascii="David;David" w:hAnsi="David;David"/>
          <w:b/>
          <w:b/>
          <w:bCs/>
          <w:rtl w:val="true"/>
        </w:rPr>
        <w:t>מדיניות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הענישה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הנהוגה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בעבירות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אלה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היא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מדיניות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של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ענישה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מחמירה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המחייבת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בדרך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כלל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הטלת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עונשי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מאסר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לריצוי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בפועל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גם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על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מי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שזו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הרשעתו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הראשונה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cs="David;David" w:ascii="David;David" w:hAnsi="David;David"/>
          <w:b/>
          <w:bCs/>
          <w:rtl w:val="true"/>
        </w:rPr>
        <w:t>(</w:t>
      </w:r>
      <w:hyperlink r:id="rId40">
        <w:r>
          <w:rPr>
            <w:rStyle w:val="Hyperlink"/>
            <w:rFonts w:ascii="David;David" w:hAnsi="David;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;David" w:ascii="David;David" w:hAnsi="David;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;David" w:hAnsi="David;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David" w:ascii="David;David" w:hAnsi="David;David"/>
            <w:b/>
            <w:bCs/>
            <w:color w:val="0000FF"/>
            <w:u w:val="single"/>
          </w:rPr>
          <w:t>2006/12</w:t>
        </w:r>
      </w:hyperlink>
      <w:r>
        <w:rPr>
          <w:rFonts w:cs="David;David" w:ascii="David;David" w:hAnsi="David;David"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מדינת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ישראל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נ</w:t>
      </w:r>
      <w:r>
        <w:rPr>
          <w:rFonts w:cs="David;David" w:ascii="David;David" w:hAnsi="David;David"/>
          <w:b/>
          <w:bCs/>
          <w:rtl w:val="true"/>
        </w:rPr>
        <w:t xml:space="preserve">' </w:t>
      </w:r>
      <w:r>
        <w:rPr>
          <w:rFonts w:ascii="David;David" w:hAnsi="David;David"/>
          <w:b/>
          <w:b/>
          <w:bCs/>
          <w:rtl w:val="true"/>
        </w:rPr>
        <w:t>אסדי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cs="David;David" w:ascii="David;David" w:hAnsi="David;David"/>
          <w:b/>
          <w:bCs/>
          <w:rtl w:val="true"/>
        </w:rPr>
        <w:t>(</w:t>
      </w:r>
      <w:r>
        <w:rPr>
          <w:rFonts w:cs="David;David" w:ascii="David;David" w:hAnsi="David;David"/>
          <w:b/>
          <w:bCs/>
        </w:rPr>
        <w:t>28.3.2012</w:t>
      </w:r>
      <w:r>
        <w:rPr>
          <w:rFonts w:cs="David;David" w:ascii="David;David" w:hAnsi="David;David"/>
          <w:b/>
          <w:bCs/>
          <w:rtl w:val="true"/>
        </w:rPr>
        <w:t>), (</w:t>
      </w:r>
      <w:r>
        <w:rPr>
          <w:rFonts w:ascii="David;David" w:hAnsi="David;David"/>
          <w:b/>
          <w:b/>
          <w:bCs/>
          <w:rtl w:val="true"/>
        </w:rPr>
        <w:t>להלן</w:t>
      </w:r>
      <w:r>
        <w:rPr>
          <w:rFonts w:cs="David;David" w:ascii="David;David" w:hAnsi="David;David"/>
          <w:b/>
          <w:bCs/>
          <w:rtl w:val="true"/>
        </w:rPr>
        <w:t xml:space="preserve">: </w:t>
      </w:r>
      <w:r>
        <w:rPr>
          <w:rFonts w:ascii="David;David" w:hAnsi="David;David"/>
          <w:b/>
          <w:b/>
          <w:bCs/>
          <w:rtl w:val="true"/>
        </w:rPr>
        <w:t>עניין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אסדי</w:t>
      </w:r>
      <w:r>
        <w:rPr>
          <w:rFonts w:cs="David;David" w:ascii="David;David" w:hAnsi="David;David"/>
          <w:b/>
          <w:bCs/>
          <w:rtl w:val="true"/>
        </w:rPr>
        <w:t xml:space="preserve">); </w:t>
      </w:r>
      <w:hyperlink r:id="rId41">
        <w:r>
          <w:rPr>
            <w:rStyle w:val="Hyperlink"/>
            <w:rFonts w:ascii="David;David" w:hAnsi="David;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;David" w:ascii="David;David" w:hAnsi="David;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;David" w:hAnsi="David;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David" w:ascii="David;David" w:hAnsi="David;David"/>
            <w:b/>
            <w:bCs/>
            <w:color w:val="0000FF"/>
            <w:u w:val="single"/>
          </w:rPr>
          <w:t>7502/12</w:t>
        </w:r>
      </w:hyperlink>
      <w:r>
        <w:rPr>
          <w:rFonts w:cs="David;David" w:ascii="David;David" w:hAnsi="David;David"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כוויס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נ</w:t>
      </w:r>
      <w:r>
        <w:rPr>
          <w:rFonts w:cs="David;David" w:ascii="David;David" w:hAnsi="David;David"/>
          <w:b/>
          <w:bCs/>
          <w:rtl w:val="true"/>
        </w:rPr>
        <w:t xml:space="preserve">' </w:t>
      </w:r>
      <w:r>
        <w:rPr>
          <w:rFonts w:ascii="David;David" w:hAnsi="David;David"/>
          <w:b/>
          <w:b/>
          <w:bCs/>
          <w:rtl w:val="true"/>
        </w:rPr>
        <w:t>מדינת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ישראל</w:t>
      </w:r>
      <w:r>
        <w:rPr>
          <w:rFonts w:cs="David;David" w:ascii="David;David" w:hAnsi="David;David"/>
          <w:b/>
          <w:bCs/>
          <w:rtl w:val="true"/>
        </w:rPr>
        <w:t xml:space="preserve">, </w:t>
      </w:r>
      <w:r>
        <w:rPr>
          <w:rFonts w:ascii="David;David" w:hAnsi="David;David"/>
          <w:b/>
          <w:b/>
          <w:bCs/>
          <w:rtl w:val="true"/>
        </w:rPr>
        <w:t>פסקה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cs="David;David" w:ascii="David;David" w:hAnsi="David;David"/>
          <w:b/>
          <w:bCs/>
        </w:rPr>
        <w:t>6</w:t>
      </w:r>
      <w:r>
        <w:rPr>
          <w:rFonts w:cs="David;David" w:ascii="David;David" w:hAnsi="David;David"/>
          <w:b/>
          <w:bCs/>
          <w:rtl w:val="true"/>
        </w:rPr>
        <w:t xml:space="preserve"> (</w:t>
      </w:r>
      <w:r>
        <w:rPr>
          <w:rFonts w:cs="David;David" w:ascii="David;David" w:hAnsi="David;David"/>
          <w:b/>
          <w:bCs/>
        </w:rPr>
        <w:t>25.6.2013</w:t>
      </w:r>
      <w:r>
        <w:rPr>
          <w:rFonts w:cs="David;David" w:ascii="David;David" w:hAnsi="David;David"/>
          <w:b/>
          <w:bCs/>
          <w:rtl w:val="true"/>
        </w:rPr>
        <w:t xml:space="preserve">))... </w:t>
      </w:r>
      <w:r>
        <w:rPr>
          <w:rFonts w:cs="David;David" w:ascii="David;David" w:hAnsi="David;David"/>
          <w:rtl w:val="true"/>
        </w:rPr>
        <w:t>"</w:t>
      </w:r>
    </w:p>
    <w:p>
      <w:pPr>
        <w:pStyle w:val="Normal"/>
        <w:spacing w:lineRule="auto" w:line="360"/>
        <w:ind w:hanging="720" w:start="720" w:end="0"/>
        <w:jc w:val="both"/>
        <w:rPr>
          <w:rFonts w:ascii="David;David" w:hAnsi="David;David" w:cs="Arial"/>
          <w:sz w:val="12"/>
          <w:szCs w:val="12"/>
        </w:rPr>
      </w:pPr>
      <w:r>
        <w:rPr>
          <w:rFonts w:cs="Arial" w:ascii="David;David" w:hAnsi="David;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782" w:end="0"/>
        <w:contextualSpacing/>
        <w:jc w:val="both"/>
        <w:rPr/>
      </w:pPr>
      <w:r>
        <w:rPr>
          <w:rtl w:val="true"/>
        </w:rPr>
        <w:t>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5.6.13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>: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>
          <w:rFonts w:ascii="David;David" w:hAnsi="David;David" w:cs="David;David"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היקפן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וזמינותו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המדאיגה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במחוזותינו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התעורר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>, "</w:t>
      </w:r>
      <w:r>
        <w:rPr>
          <w:b/>
          <w:b/>
          <w:bCs/>
          <w:rtl w:val="true"/>
        </w:rPr>
        <w:t>התגלגלותם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ועוינים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בגורלם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הרסניות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יובילו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בסכסוך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בקטטה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פנימה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בהדרגה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 w:before="120" w:after="120"/>
        <w:ind w:end="709"/>
        <w:contextualSpacing/>
        <w:jc w:val="both"/>
        <w:rPr>
          <w:rFonts w:ascii="David;David" w:hAnsi="David;David" w:cs="David;David"/>
          <w:sz w:val="12"/>
          <w:szCs w:val="12"/>
        </w:rPr>
      </w:pPr>
      <w:r>
        <w:rPr>
          <w:rFonts w:cs="David;David" w:ascii="David;David" w:hAnsi="David;David"/>
          <w:sz w:val="12"/>
          <w:szCs w:val="12"/>
          <w:rtl w:val="true"/>
        </w:rPr>
      </w:r>
    </w:p>
    <w:p>
      <w:pPr>
        <w:pStyle w:val="Normal"/>
        <w:autoSpaceDE w:val="false"/>
        <w:spacing w:lineRule="auto" w:line="360" w:before="100" w:after="100"/>
        <w:ind w:start="785" w:end="567"/>
        <w:contextualSpacing/>
        <w:jc w:val="both"/>
        <w:rPr>
          <w:rFonts w:ascii="David;David" w:hAnsi="David;David" w:cs="David;David"/>
          <w:b/>
          <w:bCs/>
          <w:sz w:val="12"/>
          <w:szCs w:val="12"/>
        </w:rPr>
      </w:pPr>
      <w:r>
        <w:rPr>
          <w:rFonts w:cs="David;David" w:ascii="David;David" w:hAnsi="David;David"/>
          <w:b/>
          <w:bCs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782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Arial" w:hAnsi="Arial" w:cs="Arial"/>
          <w:rtl w:val="true"/>
        </w:rPr>
        <w:t>ב</w:t>
      </w:r>
      <w:hyperlink r:id="rId4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סלימאן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19.1.14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ארבל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נקבע מדרג חומרה לעבירות הנשק השונות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עבירת הסחר מצויה ברף העליון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מידת החומרה משתקפת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מטבע הדברים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בעונש המאסר הקבוע לצד עבירה זו עד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נקבע כי מתחם העונש ההולם בגין עבירות רכישה והחזקה יחד עם עבירות של נשיאה והובלת נשק 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782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4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2251/11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נפאע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4.12.11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קבעה כבוד השופטת חיות כך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נוכח מימדיה המדאיגים של תופעת הסחר הבלתי חוקי בנשק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הסכנות הנשקפות ממנה והקלות היחסית שבה ניתן לבצען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אכן הגיעה השעה – בכפוף לנסיבותיו הקונקרטיות של כל מקרה ומקרה 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>להחמיר בעונשי המאסר הנגזרים על נאשמים בעבירות אלו לעומת העונשים הנגזרים כיום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782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מזוז</w:t>
      </w:r>
      <w:r>
        <w:rPr>
          <w:rFonts w:ascii="Calibri" w:hAnsi="Calibri" w:cs="Calibri"/>
          <w:rtl w:val="true"/>
        </w:rPr>
        <w:t xml:space="preserve"> 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1397/16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6.9.16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אוטומטיים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בשורה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ארוכה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פסקי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שיצאו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מלפני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האחרונות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לרבות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אוזכרו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בפסקה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לעיל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מגלה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שגזר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קמא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חמאיל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ושרקאווי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המקל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וראוי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לטעמי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שיושת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יותר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בענין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אציין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מקובלת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טענת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המדינה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להחמיר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מהרגיל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הסוחרים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אוטומטיים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הפוטנציאלי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במיוחד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אקדח</w:t>
      </w:r>
      <w:r>
        <w:rPr>
          <w:rFonts w:cs="Calibri" w:ascii="Calibri" w:hAnsi="Calibri"/>
          <w:b/>
          <w:bCs/>
          <w:rtl w:val="true"/>
        </w:rPr>
        <w:t xml:space="preserve">..." </w:t>
      </w:r>
    </w:p>
    <w:p>
      <w:pPr>
        <w:pStyle w:val="Normal"/>
        <w:spacing w:lineRule="auto" w:line="360" w:before="120" w:after="120"/>
        <w:ind w:end="709"/>
        <w:contextualSpacing/>
        <w:jc w:val="both"/>
        <w:rPr>
          <w:rFonts w:ascii="Calibri" w:hAnsi="Calibri" w:cs="Calibri"/>
          <w:b/>
          <w:bCs/>
          <w:sz w:val="12"/>
          <w:szCs w:val="12"/>
        </w:rPr>
      </w:pPr>
      <w:r>
        <w:rPr>
          <w:rFonts w:cs="Calibri" w:ascii="Calibri" w:hAnsi="Calibri"/>
          <w:b/>
          <w:bCs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782" w:end="0"/>
        <w:contextualSpacing/>
        <w:jc w:val="both"/>
        <w:rPr>
          <w:rFonts w:ascii="David;David" w:hAnsi="David;David" w:cs="David;David"/>
        </w:rPr>
      </w:pPr>
      <w:r>
        <w:rPr>
          <w:rFonts w:ascii="David;David" w:hAnsi="David;David"/>
          <w:rtl w:val="true"/>
        </w:rPr>
        <w:t>מדיניות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הענישה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הנהוגה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בעבירות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בנשק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הינה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מגוונת</w:t>
      </w:r>
      <w:r>
        <w:rPr>
          <w:rFonts w:cs="David;David" w:ascii="David;David" w:hAnsi="David;David"/>
          <w:rtl w:val="true"/>
        </w:rPr>
        <w:t xml:space="preserve">, </w:t>
      </w:r>
      <w:r>
        <w:rPr>
          <w:rFonts w:ascii="David;David" w:hAnsi="David;David"/>
          <w:rtl w:val="true"/>
        </w:rPr>
        <w:t>והיא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תלויה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בנסיבותיו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rtl w:val="true"/>
        </w:rPr>
        <w:t>של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כל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מקרה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ומקרה</w:t>
      </w:r>
      <w:r>
        <w:rPr>
          <w:rFonts w:cs="David;David" w:ascii="David;David" w:hAnsi="David;David"/>
          <w:rtl w:val="true"/>
        </w:rPr>
        <w:t xml:space="preserve">. </w:t>
      </w:r>
      <w:r>
        <w:rPr>
          <w:rFonts w:ascii="David;David" w:hAnsi="David;David"/>
          <w:rtl w:val="true"/>
        </w:rPr>
        <w:t>כך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למשל</w:t>
      </w:r>
      <w:r>
        <w:rPr>
          <w:rFonts w:ascii="David;David" w:hAnsi="David;David"/>
          <w:rtl w:val="true"/>
        </w:rPr>
        <w:t xml:space="preserve"> –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David;David" w:hAnsi="David;David" w:cs="David;David"/>
          <w:sz w:val="12"/>
          <w:szCs w:val="12"/>
        </w:rPr>
      </w:pPr>
      <w:r>
        <w:rPr>
          <w:rFonts w:cs="David;David" w:ascii="David;David" w:hAnsi="David;David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David;David" w:hAnsi="David;David" w:cs="David;David"/>
        </w:rPr>
      </w:pPr>
      <w:r>
        <w:rPr>
          <w:rFonts w:ascii="David;David" w:hAnsi="David;David"/>
          <w:rtl w:val="true"/>
          <w:lang w:eastAsia="he-IL"/>
        </w:rPr>
        <w:t>ב</w:t>
      </w:r>
      <w:hyperlink r:id="rId46">
        <w:r>
          <w:rPr>
            <w:rStyle w:val="Hyperlink"/>
            <w:rFonts w:ascii="David;David" w:hAnsi="David;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;David" w:ascii="David;David" w:hAnsi="David;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;David" w:hAnsi="David;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David" w:ascii="David;David" w:hAnsi="David;David"/>
            <w:color w:val="0000FF"/>
            <w:u w:val="single"/>
          </w:rPr>
          <w:t>135/17</w:t>
        </w:r>
      </w:hyperlink>
      <w:r>
        <w:rPr>
          <w:rFonts w:cs="David;David" w:ascii="David;David" w:hAnsi="David;David"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מדינת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ישראל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נ</w:t>
      </w:r>
      <w:r>
        <w:rPr>
          <w:rFonts w:cs="David;David" w:ascii="David;David" w:hAnsi="David;David"/>
          <w:b/>
          <w:bCs/>
          <w:rtl w:val="true"/>
        </w:rPr>
        <w:t xml:space="preserve">' </w:t>
      </w:r>
      <w:r>
        <w:rPr>
          <w:rFonts w:ascii="David;David" w:hAnsi="David;David"/>
          <w:b/>
          <w:b/>
          <w:bCs/>
          <w:rtl w:val="true"/>
        </w:rPr>
        <w:t>סמי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בסל</w:t>
      </w:r>
      <w:r>
        <w:rPr>
          <w:rFonts w:ascii="David;David" w:hAnsi="David;David"/>
          <w:rtl w:val="true"/>
        </w:rPr>
        <w:t xml:space="preserve"> </w:t>
      </w:r>
      <w:r>
        <w:rPr>
          <w:rFonts w:cs="David;David" w:ascii="David;David" w:hAnsi="David;David"/>
          <w:rtl w:val="true"/>
        </w:rPr>
        <w:t>(</w:t>
      </w:r>
      <w:r>
        <w:rPr>
          <w:rFonts w:ascii="David;David" w:hAnsi="David;David"/>
          <w:rtl w:val="true"/>
        </w:rPr>
        <w:t>ניתן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ביום</w:t>
      </w:r>
      <w:r>
        <w:rPr>
          <w:rFonts w:ascii="David;David" w:hAnsi="David;David"/>
          <w:rtl w:val="true"/>
        </w:rPr>
        <w:t xml:space="preserve"> </w:t>
      </w:r>
      <w:r>
        <w:rPr>
          <w:rFonts w:cs="David;David" w:ascii="David;David" w:hAnsi="David;David"/>
        </w:rPr>
        <w:t>8.3.17</w:t>
      </w:r>
      <w:r>
        <w:rPr>
          <w:rFonts w:cs="David;David" w:ascii="David;David" w:hAnsi="David;David"/>
          <w:rtl w:val="true"/>
        </w:rPr>
        <w:t xml:space="preserve">) </w:t>
      </w:r>
      <w:r>
        <w:rPr>
          <w:rFonts w:ascii="David;David" w:hAnsi="David;David"/>
          <w:rtl w:val="true"/>
          <w:lang w:eastAsia="he-IL"/>
        </w:rPr>
        <w:t>קיבל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בית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המשפט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העליון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את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ערעורה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של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המדינה</w:t>
      </w:r>
      <w:r>
        <w:rPr>
          <w:rFonts w:ascii="David;David" w:hAnsi="David;David"/>
          <w:rtl w:val="true"/>
          <w:lang w:eastAsia="he-IL"/>
        </w:rPr>
        <w:t xml:space="preserve">  </w:t>
      </w:r>
      <w:r>
        <w:rPr>
          <w:rFonts w:ascii="David;David" w:hAnsi="David;David"/>
          <w:rtl w:val="true"/>
          <w:lang w:eastAsia="he-IL"/>
        </w:rPr>
        <w:t>על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גזר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דינו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של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בית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המשפט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המחוזי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בחיפה</w:t>
      </w:r>
      <w:r>
        <w:rPr>
          <w:rFonts w:cs="David;David" w:ascii="David;David" w:hAnsi="David;David"/>
          <w:rtl w:val="true"/>
          <w:lang w:eastAsia="he-IL"/>
        </w:rPr>
        <w:t xml:space="preserve">, </w:t>
      </w:r>
      <w:r>
        <w:rPr>
          <w:rFonts w:ascii="David;David" w:hAnsi="David;David"/>
          <w:rtl w:val="true"/>
          <w:lang w:eastAsia="he-IL"/>
        </w:rPr>
        <w:t>במסגרתו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הושת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על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הנאשם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cs="David;David" w:ascii="David;David" w:hAnsi="David;David"/>
          <w:lang w:eastAsia="he-IL"/>
        </w:rPr>
        <w:t>12</w:t>
      </w:r>
      <w:r>
        <w:rPr>
          <w:rFonts w:cs="David;David"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חודשי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מאסר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לריצוי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בפועל</w:t>
      </w:r>
      <w:r>
        <w:rPr>
          <w:rFonts w:cs="David;David" w:ascii="David;David" w:hAnsi="David;David"/>
          <w:rtl w:val="true"/>
          <w:lang w:eastAsia="he-IL"/>
        </w:rPr>
        <w:t xml:space="preserve">, </w:t>
      </w:r>
      <w:r>
        <w:rPr>
          <w:rFonts w:ascii="David;David" w:hAnsi="David;David"/>
          <w:rtl w:val="true"/>
          <w:lang w:eastAsia="he-IL"/>
        </w:rPr>
        <w:t>בגין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ביצוע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עבירות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של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החזקה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ונשיאת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נשק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לפי</w:t>
      </w:r>
      <w:r>
        <w:rPr>
          <w:rFonts w:ascii="David;David" w:hAnsi="David;David"/>
          <w:rtl w:val="true"/>
          <w:lang w:eastAsia="he-IL"/>
        </w:rPr>
        <w:t xml:space="preserve"> </w:t>
      </w:r>
      <w:hyperlink r:id="rId47">
        <w:r>
          <w:rPr>
            <w:rStyle w:val="Hyperlink"/>
            <w:rFonts w:ascii="David;David" w:hAnsi="David;David"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rFonts w:cs="David;David" w:ascii="David;David" w:hAnsi="David;David"/>
            <w:color w:val="0000FF"/>
            <w:u w:val="single"/>
            <w:lang w:eastAsia="he-IL"/>
          </w:rPr>
          <w:t>144</w:t>
        </w:r>
        <w:r>
          <w:rPr>
            <w:rStyle w:val="Hyperlink"/>
            <w:rFonts w:cs="David;David" w:ascii="David;David" w:hAnsi="David;David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David;David" w:hAnsi="David;David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rFonts w:cs="David;David" w:ascii="David;David" w:hAnsi="David;David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David;David" w:ascii="David;David" w:hAnsi="David;David"/>
          <w:color w:val="000000"/>
          <w:rtl w:val="true"/>
          <w:lang w:eastAsia="he-IL"/>
        </w:rPr>
        <w:t xml:space="preserve"> </w:t>
      </w:r>
      <w:r>
        <w:rPr>
          <w:rFonts w:ascii="David;David" w:hAnsi="David;David"/>
          <w:color w:val="000000"/>
          <w:rtl w:val="true"/>
          <w:lang w:eastAsia="he-IL"/>
        </w:rPr>
        <w:t>ו</w:t>
      </w:r>
      <w:r>
        <w:rPr>
          <w:rFonts w:cs="David;David" w:ascii="David;David" w:hAnsi="David;David"/>
          <w:color w:val="000000"/>
          <w:rtl w:val="true"/>
          <w:lang w:eastAsia="he-IL"/>
        </w:rPr>
        <w:t>-</w:t>
      </w:r>
      <w:hyperlink r:id="rId48">
        <w:r>
          <w:rPr>
            <w:rStyle w:val="Hyperlink"/>
            <w:rFonts w:cs="David;David" w:ascii="David;David" w:hAnsi="David;David"/>
            <w:color w:val="0000FF"/>
            <w:u w:val="single"/>
            <w:lang w:eastAsia="he-IL"/>
          </w:rPr>
          <w:t>144</w:t>
        </w:r>
        <w:r>
          <w:rPr>
            <w:rStyle w:val="Hyperlink"/>
            <w:rFonts w:cs="David;David" w:ascii="David;David" w:hAnsi="David;David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David;David" w:hAnsi="David;David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David;David" w:ascii="David;David" w:hAnsi="David;David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David;David"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ל</w:t>
      </w:r>
      <w:hyperlink r:id="rId49">
        <w:r>
          <w:rPr>
            <w:rStyle w:val="Hyperlink"/>
            <w:rFonts w:ascii="David;David" w:hAnsi="David;David"/>
            <w:color w:val="0000FF"/>
            <w:u w:val="single"/>
            <w:rtl w:val="true"/>
            <w:lang w:eastAsia="he-IL"/>
          </w:rPr>
          <w:t>חוק העונשין</w:t>
        </w:r>
      </w:hyperlink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וגזר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עליו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cs="David;David" w:ascii="David;David" w:hAnsi="David;David"/>
          <w:lang w:eastAsia="he-IL"/>
        </w:rPr>
        <w:t>18</w:t>
      </w:r>
      <w:r>
        <w:rPr>
          <w:rFonts w:cs="David;David"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חודשי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מאסר</w:t>
      </w:r>
      <w:r>
        <w:rPr>
          <w:rFonts w:cs="David;David" w:ascii="David;David" w:hAnsi="David;David"/>
          <w:rtl w:val="true"/>
          <w:lang w:eastAsia="he-IL"/>
        </w:rPr>
        <w:t xml:space="preserve">. </w:t>
      </w:r>
      <w:r>
        <w:rPr>
          <w:rFonts w:ascii="David;David" w:hAnsi="David;David"/>
          <w:rtl w:val="true"/>
          <w:lang w:eastAsia="he-IL"/>
        </w:rPr>
        <w:t>הנאשם</w:t>
      </w:r>
      <w:r>
        <w:rPr>
          <w:rFonts w:cs="David;David" w:ascii="David;David" w:hAnsi="David;David"/>
          <w:rtl w:val="true"/>
          <w:lang w:eastAsia="he-IL"/>
        </w:rPr>
        <w:t xml:space="preserve">, </w:t>
      </w:r>
      <w:r>
        <w:rPr>
          <w:rFonts w:ascii="David;David" w:hAnsi="David;David"/>
          <w:rtl w:val="true"/>
          <w:lang w:eastAsia="he-IL"/>
        </w:rPr>
        <w:t>בן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cs="David;David" w:ascii="David;David" w:hAnsi="David;David"/>
          <w:lang w:eastAsia="he-IL"/>
        </w:rPr>
        <w:t>20</w:t>
      </w:r>
      <w:r>
        <w:rPr>
          <w:rFonts w:cs="David;David" w:ascii="David;David" w:hAnsi="David;David"/>
          <w:rtl w:val="true"/>
          <w:lang w:eastAsia="he-IL"/>
        </w:rPr>
        <w:t xml:space="preserve">, </w:t>
      </w:r>
      <w:r>
        <w:rPr>
          <w:rFonts w:ascii="David;David" w:hAnsi="David;David"/>
          <w:rtl w:val="true"/>
          <w:lang w:eastAsia="he-IL"/>
        </w:rPr>
        <w:t>צבר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לחובתו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הרשעה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אחת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בעבירת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איומים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ושבל</w:t>
      </w:r>
      <w:r>
        <w:rPr>
          <w:rFonts w:cs="David;David" w:ascii="David;David" w:hAnsi="David;David"/>
          <w:rtl w:val="true"/>
          <w:lang w:eastAsia="he-IL"/>
        </w:rPr>
        <w:t>"</w:t>
      </w:r>
      <w:r>
        <w:rPr>
          <w:rFonts w:ascii="David;David" w:hAnsi="David;David"/>
          <w:rtl w:val="true"/>
          <w:lang w:eastAsia="he-IL"/>
        </w:rPr>
        <w:t>ר</w:t>
      </w:r>
      <w:r>
        <w:rPr>
          <w:rFonts w:cs="David;David" w:ascii="David;David" w:hAnsi="David;David"/>
          <w:rtl w:val="true"/>
          <w:lang w:eastAsia="he-IL"/>
        </w:rPr>
        <w:t xml:space="preserve">, </w:t>
      </w:r>
      <w:r>
        <w:rPr>
          <w:rFonts w:ascii="David;David" w:hAnsi="David;David"/>
          <w:rtl w:val="true"/>
          <w:lang w:eastAsia="he-IL"/>
        </w:rPr>
        <w:t>החזיק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בתת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מקלע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ומחסנית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והסתירם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בשביל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קרוב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משפחתו</w:t>
      </w:r>
      <w:r>
        <w:rPr>
          <w:rFonts w:cs="David;David" w:ascii="David;David" w:hAnsi="David;David"/>
          <w:rtl w:val="true"/>
          <w:lang w:eastAsia="he-IL"/>
        </w:rPr>
        <w:t xml:space="preserve">, </w:t>
      </w:r>
      <w:r>
        <w:rPr>
          <w:rFonts w:ascii="David;David" w:hAnsi="David;David"/>
          <w:rtl w:val="true"/>
          <w:lang w:eastAsia="he-IL"/>
        </w:rPr>
        <w:t>למשך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שבוע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ימים</w:t>
      </w:r>
      <w:r>
        <w:rPr>
          <w:rFonts w:cs="David;David" w:ascii="David;David" w:hAnsi="David;David"/>
          <w:rtl w:val="true"/>
          <w:lang w:eastAsia="he-IL"/>
        </w:rPr>
        <w:t xml:space="preserve">, </w:t>
      </w:r>
      <w:r>
        <w:rPr>
          <w:rFonts w:ascii="David;David" w:hAnsi="David;David"/>
          <w:rtl w:val="true"/>
          <w:lang w:eastAsia="he-IL"/>
        </w:rPr>
        <w:t>שבסופם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העבירם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לאחר</w:t>
      </w:r>
      <w:r>
        <w:rPr>
          <w:rFonts w:cs="David;David" w:ascii="David;David" w:hAnsi="David;David"/>
          <w:rtl w:val="true"/>
          <w:lang w:eastAsia="he-IL"/>
        </w:rPr>
        <w:t xml:space="preserve">, </w:t>
      </w:r>
      <w:r>
        <w:rPr>
          <w:rFonts w:ascii="David;David" w:hAnsi="David;David"/>
          <w:rtl w:val="true"/>
          <w:lang w:eastAsia="he-IL"/>
        </w:rPr>
        <w:t>אשר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קנה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את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הנשק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והמחסנית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מקרוב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משפחתו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של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הנאשם</w:t>
      </w:r>
      <w:r>
        <w:rPr>
          <w:rFonts w:cs="David;David" w:ascii="David;David" w:hAnsi="David;David"/>
          <w:rtl w:val="true"/>
          <w:lang w:eastAsia="he-IL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David;David" w:hAnsi="David;David" w:cs="David;David"/>
          <w:sz w:val="12"/>
          <w:szCs w:val="12"/>
        </w:rPr>
      </w:pPr>
      <w:r>
        <w:rPr>
          <w:rFonts w:cs="David;David" w:ascii="David;David" w:hAnsi="David;David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/>
      </w:pPr>
      <w:r>
        <w:rPr>
          <w:rFonts w:ascii="David;David" w:hAnsi="David;David"/>
          <w:rtl w:val="true"/>
          <w:lang w:eastAsia="he-IL"/>
        </w:rPr>
        <w:t>ב</w:t>
      </w:r>
      <w:hyperlink r:id="rId50">
        <w:r>
          <w:rPr>
            <w:rStyle w:val="Hyperlink"/>
            <w:rFonts w:ascii="David;David" w:hAnsi="David;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;David" w:ascii="David;David" w:hAnsi="David;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;David" w:hAnsi="David;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;David" w:ascii="David;David" w:hAnsi="David;David"/>
            <w:color w:val="0000FF"/>
            <w:u w:val="single"/>
          </w:rPr>
          <w:t>1397/16</w:t>
        </w:r>
      </w:hyperlink>
      <w:r>
        <w:rPr>
          <w:rFonts w:cs="David;David" w:ascii="David;David" w:hAnsi="David;David"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מדינת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ישראל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נ</w:t>
      </w:r>
      <w:r>
        <w:rPr>
          <w:rFonts w:cs="David;David" w:ascii="David;David" w:hAnsi="David;David"/>
          <w:b/>
          <w:bCs/>
          <w:rtl w:val="true"/>
        </w:rPr>
        <w:t xml:space="preserve">' </w:t>
      </w:r>
      <w:r>
        <w:rPr>
          <w:rFonts w:ascii="David;David" w:hAnsi="David;David"/>
          <w:b/>
          <w:b/>
          <w:bCs/>
          <w:rtl w:val="true"/>
        </w:rPr>
        <w:t>אחמד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חמיאל</w:t>
      </w:r>
      <w:r>
        <w:rPr>
          <w:rFonts w:ascii="David;David" w:hAnsi="David;David"/>
          <w:rtl w:val="true"/>
        </w:rPr>
        <w:t xml:space="preserve"> </w:t>
      </w:r>
      <w:r>
        <w:rPr>
          <w:rFonts w:cs="David;David" w:ascii="David;David" w:hAnsi="David;David"/>
          <w:rtl w:val="true"/>
        </w:rPr>
        <w:t>(</w:t>
      </w:r>
      <w:r>
        <w:rPr>
          <w:rFonts w:ascii="David;David" w:hAnsi="David;David"/>
          <w:rtl w:val="true"/>
        </w:rPr>
        <w:t>ניתן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ביום</w:t>
      </w:r>
      <w:r>
        <w:rPr>
          <w:rFonts w:ascii="David;David" w:hAnsi="David;David"/>
          <w:rtl w:val="true"/>
        </w:rPr>
        <w:t xml:space="preserve"> </w:t>
      </w:r>
      <w:r>
        <w:rPr>
          <w:rFonts w:cs="David;David" w:ascii="David;David" w:hAnsi="David;David"/>
        </w:rPr>
        <w:t>6.9.16</w:t>
      </w:r>
      <w:r>
        <w:rPr>
          <w:rFonts w:cs="David;David" w:ascii="David;David" w:hAnsi="David;David"/>
          <w:rtl w:val="true"/>
        </w:rPr>
        <w:t xml:space="preserve">) </w:t>
      </w:r>
      <w:r>
        <w:rPr>
          <w:rFonts w:ascii="David;David" w:hAnsi="David;David"/>
          <w:rtl w:val="true"/>
          <w:lang w:eastAsia="he-IL"/>
        </w:rPr>
        <w:t>דחה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בית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המשפט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העליון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את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ערעורה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של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המדינה</w:t>
      </w:r>
      <w:r>
        <w:rPr>
          <w:rFonts w:ascii="David;David" w:hAnsi="David;David"/>
          <w:rtl w:val="true"/>
          <w:lang w:eastAsia="he-IL"/>
        </w:rPr>
        <w:t xml:space="preserve">  </w:t>
      </w:r>
      <w:r>
        <w:rPr>
          <w:rFonts w:ascii="David;David" w:hAnsi="David;David"/>
          <w:rtl w:val="true"/>
          <w:lang w:eastAsia="he-IL"/>
        </w:rPr>
        <w:t>על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גזר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דינו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של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בית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המשפט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המחוזי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בירושלים</w:t>
      </w:r>
      <w:r>
        <w:rPr>
          <w:rFonts w:cs="David;David" w:ascii="David;David" w:hAnsi="David;David"/>
          <w:rtl w:val="true"/>
          <w:lang w:eastAsia="he-IL"/>
        </w:rPr>
        <w:t xml:space="preserve">, </w:t>
      </w:r>
      <w:r>
        <w:rPr>
          <w:rFonts w:ascii="David;David" w:hAnsi="David;David"/>
          <w:rtl w:val="true"/>
          <w:lang w:eastAsia="he-IL"/>
        </w:rPr>
        <w:t>במסגרתו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הושת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על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הנאשם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cs="David;David" w:ascii="David;David" w:hAnsi="David;David"/>
          <w:lang w:eastAsia="he-IL"/>
        </w:rPr>
        <w:t>48</w:t>
      </w:r>
      <w:r>
        <w:rPr>
          <w:rFonts w:cs="David;David"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חודשי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מאסר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לריצוי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בפועל</w:t>
      </w:r>
      <w:r>
        <w:rPr>
          <w:rFonts w:cs="David;David" w:ascii="David;David" w:hAnsi="David;David"/>
          <w:rtl w:val="true"/>
          <w:lang w:eastAsia="he-IL"/>
        </w:rPr>
        <w:t xml:space="preserve">, </w:t>
      </w:r>
      <w:r>
        <w:rPr>
          <w:rFonts w:ascii="David;David" w:hAnsi="David;David"/>
          <w:rtl w:val="true"/>
          <w:lang w:eastAsia="he-IL"/>
        </w:rPr>
        <w:t>בגין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ביצוע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שלוש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עבירות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שעניינן</w:t>
      </w:r>
      <w:r>
        <w:rPr>
          <w:rFonts w:ascii="David;David" w:hAnsi="David;David"/>
          <w:rtl w:val="true"/>
          <w:lang w:eastAsia="he-IL"/>
        </w:rPr>
        <w:t xml:space="preserve">  </w:t>
      </w:r>
      <w:r>
        <w:rPr>
          <w:rFonts w:ascii="David;David" w:hAnsi="David;David"/>
          <w:rtl w:val="true"/>
          <w:lang w:eastAsia="he-IL"/>
        </w:rPr>
        <w:t>סחר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בנשק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לפי</w:t>
      </w:r>
      <w:r>
        <w:rPr>
          <w:rFonts w:ascii="David;David" w:hAnsi="David;David"/>
          <w:rtl w:val="true"/>
          <w:lang w:eastAsia="he-IL"/>
        </w:rPr>
        <w:t xml:space="preserve"> </w:t>
      </w:r>
      <w:hyperlink r:id="rId51">
        <w:r>
          <w:rPr>
            <w:rStyle w:val="Hyperlink"/>
            <w:rFonts w:ascii="David;David" w:hAnsi="David;David"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rFonts w:cs="David;David" w:ascii="David;David" w:hAnsi="David;David"/>
            <w:color w:val="0000FF"/>
            <w:u w:val="single"/>
            <w:lang w:eastAsia="he-IL"/>
          </w:rPr>
          <w:t>144</w:t>
        </w:r>
        <w:r>
          <w:rPr>
            <w:rStyle w:val="Hyperlink"/>
            <w:rFonts w:cs="David;David" w:ascii="David;David" w:hAnsi="David;David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David;David" w:hAnsi="David;David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David;David" w:ascii="David;David" w:hAnsi="David;David"/>
            <w:color w:val="0000FF"/>
            <w:u w:val="single"/>
            <w:lang w:eastAsia="he-IL"/>
          </w:rPr>
          <w:t>2</w:t>
        </w:r>
        <w:r>
          <w:rPr>
            <w:rStyle w:val="Hyperlink"/>
            <w:rFonts w:cs="David;David" w:ascii="David;David" w:hAnsi="David;David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David;David"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ל</w:t>
      </w:r>
      <w:hyperlink r:id="rId52">
        <w:r>
          <w:rPr>
            <w:rStyle w:val="Hyperlink"/>
            <w:rFonts w:ascii="David;David" w:hAnsi="David;David"/>
            <w:color w:val="0000FF"/>
            <w:u w:val="single"/>
            <w:rtl w:val="true"/>
            <w:lang w:eastAsia="he-IL"/>
          </w:rPr>
          <w:t>חוק העונשין</w:t>
        </w:r>
      </w:hyperlink>
      <w:r>
        <w:rPr>
          <w:rFonts w:cs="David;David" w:ascii="David;David" w:hAnsi="David;David"/>
          <w:rtl w:val="true"/>
          <w:lang w:eastAsia="he-IL"/>
        </w:rPr>
        <w:t xml:space="preserve">. </w:t>
      </w:r>
      <w:r>
        <w:rPr>
          <w:rFonts w:ascii="David;David" w:hAnsi="David;David"/>
          <w:rtl w:val="true"/>
          <w:lang w:eastAsia="he-IL"/>
        </w:rPr>
        <w:t>הנאשם</w:t>
      </w:r>
      <w:r>
        <w:rPr>
          <w:rFonts w:cs="David;David" w:ascii="David;David" w:hAnsi="David;David"/>
          <w:rtl w:val="true"/>
          <w:lang w:eastAsia="he-IL"/>
        </w:rPr>
        <w:t xml:space="preserve">, </w:t>
      </w:r>
      <w:r>
        <w:rPr>
          <w:rFonts w:ascii="David;David" w:hAnsi="David;David"/>
          <w:rtl w:val="true"/>
          <w:lang w:eastAsia="he-IL"/>
        </w:rPr>
        <w:t>בן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cs="David;David" w:ascii="David;David" w:hAnsi="David;David"/>
          <w:lang w:eastAsia="he-IL"/>
        </w:rPr>
        <w:t>21</w:t>
      </w:r>
      <w:r>
        <w:rPr>
          <w:rFonts w:cs="David;David" w:ascii="David;David" w:hAnsi="David;David"/>
          <w:rtl w:val="true"/>
          <w:lang w:eastAsia="he-IL"/>
        </w:rPr>
        <w:t xml:space="preserve">, </w:t>
      </w:r>
      <w:r>
        <w:rPr>
          <w:rFonts w:ascii="David;David" w:hAnsi="David;David"/>
          <w:rtl w:val="true"/>
          <w:lang w:eastAsia="he-IL"/>
        </w:rPr>
        <w:t>ללא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עבר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פלילי</w:t>
      </w:r>
      <w:r>
        <w:rPr>
          <w:rFonts w:cs="David;David" w:ascii="David;David" w:hAnsi="David;David"/>
          <w:rtl w:val="true"/>
          <w:lang w:eastAsia="he-IL"/>
        </w:rPr>
        <w:t xml:space="preserve">, </w:t>
      </w:r>
      <w:r>
        <w:rPr>
          <w:rFonts w:ascii="David;David" w:hAnsi="David;David"/>
          <w:rtl w:val="true"/>
          <w:lang w:eastAsia="he-IL"/>
        </w:rPr>
        <w:t>מכר</w:t>
      </w:r>
      <w:r>
        <w:rPr>
          <w:rFonts w:cs="David;David" w:ascii="David;David" w:hAnsi="David;David"/>
          <w:rtl w:val="true"/>
          <w:lang w:eastAsia="he-IL"/>
        </w:rPr>
        <w:t xml:space="preserve">, </w:t>
      </w:r>
      <w:r>
        <w:rPr>
          <w:rFonts w:ascii="David;David" w:hAnsi="David;David"/>
          <w:rtl w:val="true"/>
        </w:rPr>
        <w:t>בשלוש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הזדמנויות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שונות</w:t>
      </w:r>
      <w:r>
        <w:rPr>
          <w:rFonts w:cs="David;David" w:ascii="David;David" w:hAnsi="David;David"/>
          <w:rtl w:val="true"/>
        </w:rPr>
        <w:t xml:space="preserve">, </w:t>
      </w:r>
      <w:r>
        <w:rPr>
          <w:rFonts w:ascii="David;David" w:hAnsi="David;David"/>
          <w:rtl w:val="true"/>
          <w:lang w:eastAsia="he-IL"/>
        </w:rPr>
        <w:t>לסוכן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משטרתי</w:t>
      </w:r>
      <w:r>
        <w:rPr>
          <w:rFonts w:cs="David;David" w:ascii="David;David" w:hAnsi="David;David"/>
          <w:rtl w:val="true"/>
          <w:lang w:eastAsia="he-IL"/>
        </w:rPr>
        <w:t xml:space="preserve">, </w:t>
      </w:r>
      <w:r>
        <w:rPr>
          <w:rFonts w:ascii="David;David" w:hAnsi="David;David"/>
          <w:rtl w:val="true"/>
        </w:rPr>
        <w:t>רובה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מסוג</w:t>
      </w:r>
      <w:r>
        <w:rPr>
          <w:rFonts w:ascii="David;David" w:hAnsi="David;David"/>
          <w:rtl w:val="true"/>
        </w:rPr>
        <w:t xml:space="preserve"> </w:t>
      </w:r>
      <w:r>
        <w:rPr>
          <w:rFonts w:cs="David;David" w:ascii="David;David" w:hAnsi="David;David"/>
          <w:rtl w:val="true"/>
        </w:rPr>
        <w:t>"</w:t>
      </w:r>
      <w:r>
        <w:rPr>
          <w:rFonts w:ascii="David;David" w:hAnsi="David;David"/>
          <w:rtl w:val="true"/>
        </w:rPr>
        <w:t>קרל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גוסטב</w:t>
      </w:r>
      <w:r>
        <w:rPr>
          <w:rFonts w:cs="David;David" w:ascii="David;David" w:hAnsi="David;David"/>
          <w:rtl w:val="true"/>
        </w:rPr>
        <w:t>" (</w:t>
      </w:r>
      <w:r>
        <w:rPr>
          <w:rFonts w:ascii="David;David" w:hAnsi="David;David"/>
          <w:rtl w:val="true"/>
        </w:rPr>
        <w:t>תמורת</w:t>
      </w:r>
      <w:r>
        <w:rPr>
          <w:rFonts w:ascii="David;David" w:hAnsi="David;David"/>
          <w:rtl w:val="true"/>
        </w:rPr>
        <w:t xml:space="preserve"> </w:t>
      </w:r>
      <w:r>
        <w:rPr>
          <w:rFonts w:cs="David;David" w:ascii="David;David" w:hAnsi="David;David"/>
        </w:rPr>
        <w:t>15,000</w:t>
      </w:r>
      <w:r>
        <w:rPr>
          <w:rFonts w:cs="David;David" w:ascii="David;David" w:hAnsi="David;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;David" w:ascii="David;David" w:hAnsi="David;David"/>
          <w:rtl w:val="true"/>
        </w:rPr>
        <w:t xml:space="preserve">), </w:t>
      </w:r>
      <w:r>
        <w:rPr>
          <w:rFonts w:ascii="David;David" w:hAnsi="David;David"/>
          <w:rtl w:val="true"/>
        </w:rPr>
        <w:t>רובה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מסוג</w:t>
      </w:r>
      <w:r>
        <w:rPr>
          <w:rFonts w:ascii="David;David" w:hAnsi="David;David"/>
          <w:rtl w:val="true"/>
        </w:rPr>
        <w:t xml:space="preserve"> </w:t>
      </w:r>
      <w:r>
        <w:rPr>
          <w:rFonts w:cs="David;David" w:ascii="David;David" w:hAnsi="David;David"/>
        </w:rPr>
        <w:t>M-16</w:t>
      </w:r>
      <w:r>
        <w:rPr>
          <w:rFonts w:cs="David;David" w:ascii="David;David" w:hAnsi="David;David"/>
          <w:rtl w:val="true"/>
          <w:lang w:eastAsia="he-IL"/>
        </w:rPr>
        <w:t xml:space="preserve"> (</w:t>
      </w:r>
      <w:r>
        <w:rPr>
          <w:rFonts w:ascii="David;David" w:hAnsi="David;David"/>
          <w:rtl w:val="true"/>
          <w:lang w:eastAsia="he-IL"/>
        </w:rPr>
        <w:t>תמורת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cs="David;David" w:ascii="David;David" w:hAnsi="David;David"/>
          <w:lang w:eastAsia="he-IL"/>
        </w:rPr>
        <w:t>49,000</w:t>
      </w:r>
      <w:r>
        <w:rPr>
          <w:rFonts w:cs="David;David" w:ascii="David;David" w:hAnsi="David;David"/>
          <w:rtl w:val="true"/>
          <w:lang w:eastAsia="he-IL"/>
        </w:rPr>
        <w:t xml:space="preserve"> </w:t>
      </w:r>
      <w:r>
        <w:rPr>
          <w:rFonts w:cs="Times New Roman"/>
          <w:rtl w:val="true"/>
          <w:lang w:eastAsia="he-IL"/>
        </w:rPr>
        <w:t>₪</w:t>
      </w:r>
      <w:r>
        <w:rPr>
          <w:rFonts w:cs="David;David" w:ascii="David;David" w:hAnsi="David;David"/>
          <w:rtl w:val="true"/>
          <w:lang w:eastAsia="he-IL"/>
        </w:rPr>
        <w:t xml:space="preserve">) </w:t>
      </w:r>
      <w:r>
        <w:rPr>
          <w:rFonts w:ascii="David;David" w:hAnsi="David;David"/>
          <w:rtl w:val="true"/>
          <w:lang w:eastAsia="he-IL"/>
        </w:rPr>
        <w:t>ובפעם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השלישית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cs="David;David" w:ascii="David;David" w:hAnsi="David;David"/>
          <w:rtl w:val="true"/>
          <w:lang w:eastAsia="he-IL"/>
        </w:rPr>
        <w:t>-</w:t>
      </w:r>
      <w:r>
        <w:rPr>
          <w:rFonts w:cs="David;David"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שני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רובים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מסוג</w:t>
      </w:r>
      <w:r>
        <w:rPr>
          <w:rFonts w:ascii="David;David" w:hAnsi="David;David"/>
          <w:rtl w:val="true"/>
        </w:rPr>
        <w:t xml:space="preserve"> </w:t>
      </w:r>
      <w:r>
        <w:rPr>
          <w:rFonts w:cs="David;David" w:ascii="David;David" w:hAnsi="David;David"/>
        </w:rPr>
        <w:t>M-16</w:t>
      </w:r>
      <w:r>
        <w:rPr>
          <w:rFonts w:cs="David;David"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</w:rPr>
        <w:t>ואקדח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מסוג</w:t>
      </w:r>
      <w:r>
        <w:rPr>
          <w:rFonts w:cs="David;David" w:ascii="David;David" w:hAnsi="David;David"/>
        </w:rPr>
        <w:t>FN</w:t>
      </w:r>
      <w:r>
        <w:rPr>
          <w:rFonts w:cs="David;David" w:ascii="David;David" w:hAnsi="David;David"/>
          <w:rtl w:val="true"/>
        </w:rPr>
        <w:t xml:space="preserve"> </w:t>
      </w:r>
      <w:r>
        <w:rPr>
          <w:rFonts w:cs="David;David" w:ascii="David;David" w:hAnsi="David;David"/>
          <w:rtl w:val="true"/>
        </w:rPr>
        <w:t xml:space="preserve"> </w:t>
      </w:r>
      <w:r>
        <w:rPr>
          <w:rFonts w:cs="David;David" w:ascii="David;David" w:hAnsi="David;David"/>
          <w:rtl w:val="true"/>
          <w:lang w:eastAsia="he-IL"/>
        </w:rPr>
        <w:t>(</w:t>
      </w:r>
      <w:r>
        <w:rPr>
          <w:rFonts w:ascii="David;David" w:hAnsi="David;David"/>
          <w:rtl w:val="true"/>
          <w:lang w:eastAsia="he-IL"/>
        </w:rPr>
        <w:t>תמורתם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סוכם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על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תשלום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בסך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cs="David;David" w:ascii="David;David" w:hAnsi="David;David"/>
          <w:lang w:eastAsia="he-IL"/>
        </w:rPr>
        <w:t>121,000</w:t>
      </w:r>
      <w:r>
        <w:rPr>
          <w:rFonts w:cs="David;David" w:ascii="David;David" w:hAnsi="David;David"/>
          <w:rtl w:val="true"/>
          <w:lang w:eastAsia="he-IL"/>
        </w:rPr>
        <w:t xml:space="preserve"> </w:t>
      </w:r>
      <w:r>
        <w:rPr>
          <w:rFonts w:cs="Times New Roman"/>
          <w:rtl w:val="true"/>
          <w:lang w:eastAsia="he-IL"/>
        </w:rPr>
        <w:t>₪</w:t>
      </w:r>
      <w:r>
        <w:rPr>
          <w:rFonts w:cs="David;David" w:ascii="David;David" w:hAnsi="David;David"/>
          <w:rtl w:val="true"/>
          <w:lang w:eastAsia="he-IL"/>
        </w:rPr>
        <w:t xml:space="preserve">). </w:t>
      </w:r>
      <w:r>
        <w:rPr>
          <w:rFonts w:ascii="David;David" w:hAnsi="David;David"/>
          <w:rtl w:val="true"/>
          <w:lang w:eastAsia="he-IL"/>
        </w:rPr>
        <w:t>בית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המשפט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העליון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התייחס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לעונשו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של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הנאשם</w:t>
      </w:r>
      <w:r>
        <w:rPr>
          <w:rFonts w:cs="David;David" w:ascii="David;David" w:hAnsi="David;David"/>
          <w:rtl w:val="true"/>
          <w:lang w:eastAsia="he-IL"/>
        </w:rPr>
        <w:t xml:space="preserve">, </w:t>
      </w:r>
      <w:r>
        <w:rPr>
          <w:rFonts w:ascii="David;David" w:hAnsi="David;David"/>
          <w:rtl w:val="true"/>
          <w:lang w:eastAsia="he-IL"/>
        </w:rPr>
        <w:t>וציין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כי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העונש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שנגזר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על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הנאשם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הוא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עונש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מאסר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מקל</w:t>
      </w:r>
      <w:r>
        <w:rPr>
          <w:rFonts w:cs="David;David" w:ascii="David;David" w:hAnsi="David;David"/>
          <w:rtl w:val="true"/>
          <w:lang w:eastAsia="he-IL"/>
        </w:rPr>
        <w:t xml:space="preserve">, </w:t>
      </w:r>
      <w:r>
        <w:rPr>
          <w:rFonts w:ascii="David;David" w:hAnsi="David;David"/>
          <w:rtl w:val="true"/>
          <w:lang w:eastAsia="he-IL"/>
        </w:rPr>
        <w:t>אך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יחד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עם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זאת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הוא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לא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מהווה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חריג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המצדיק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את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התערבותה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של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ערכאת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הערעור</w:t>
      </w:r>
      <w:r>
        <w:rPr>
          <w:rFonts w:cs="David;David" w:ascii="David;David" w:hAnsi="David;David"/>
          <w:rtl w:val="true"/>
          <w:lang w:eastAsia="he-IL"/>
        </w:rPr>
        <w:t xml:space="preserve">. </w:t>
      </w:r>
    </w:p>
    <w:p>
      <w:pPr>
        <w:pStyle w:val="Normal"/>
        <w:spacing w:lineRule="auto" w:line="360" w:before="120" w:after="120"/>
        <w:ind w:end="0"/>
        <w:contextualSpacing/>
        <w:jc w:val="both"/>
        <w:rPr>
          <w:rFonts w:ascii="David;David" w:hAnsi="David;David" w:cs="David;David"/>
          <w:sz w:val="12"/>
          <w:szCs w:val="12"/>
          <w:lang w:eastAsia="he-IL"/>
        </w:rPr>
      </w:pPr>
      <w:r>
        <w:rPr>
          <w:rFonts w:cs="David;David" w:ascii="David;David" w:hAnsi="David;David"/>
          <w:sz w:val="12"/>
          <w:szCs w:val="12"/>
          <w:rtl w:val="true"/>
          <w:lang w:eastAsia="he-IL"/>
        </w:rPr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/>
      </w:pPr>
      <w:r>
        <w:rPr>
          <w:rFonts w:ascii="David;David" w:hAnsi="David;David"/>
          <w:rtl w:val="true"/>
          <w:lang w:eastAsia="he-IL"/>
        </w:rPr>
        <w:t>ב</w:t>
      </w:r>
      <w:hyperlink r:id="rId53">
        <w:r>
          <w:rPr>
            <w:rStyle w:val="Hyperlink"/>
            <w:rFonts w:ascii="David;David" w:hAnsi="David;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;David" w:ascii="David;David" w:hAnsi="David;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;David" w:hAnsi="David;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;David" w:ascii="David;David" w:hAnsi="David;David"/>
            <w:color w:val="0000FF"/>
            <w:u w:val="single"/>
            <w:lang w:eastAsia="he-IL"/>
          </w:rPr>
          <w:t>7552/14</w:t>
        </w:r>
      </w:hyperlink>
      <w:r>
        <w:rPr>
          <w:rFonts w:cs="David;David"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b/>
          <w:b/>
          <w:bCs/>
          <w:rtl w:val="true"/>
          <w:lang w:eastAsia="he-IL"/>
        </w:rPr>
        <w:t>יוסף</w:t>
      </w:r>
      <w:r>
        <w:rPr>
          <w:rFonts w:ascii="David;David" w:hAnsi="David;David"/>
          <w:b/>
          <w:b/>
          <w:bCs/>
          <w:rtl w:val="true"/>
          <w:lang w:eastAsia="he-IL"/>
        </w:rPr>
        <w:t xml:space="preserve"> </w:t>
      </w:r>
      <w:r>
        <w:rPr>
          <w:rFonts w:ascii="David;David" w:hAnsi="David;David"/>
          <w:b/>
          <w:b/>
          <w:bCs/>
          <w:rtl w:val="true"/>
          <w:lang w:eastAsia="he-IL"/>
        </w:rPr>
        <w:t>אגבאריה</w:t>
      </w:r>
      <w:r>
        <w:rPr>
          <w:rFonts w:ascii="David;David" w:hAnsi="David;David"/>
          <w:b/>
          <w:b/>
          <w:bCs/>
          <w:rtl w:val="true"/>
          <w:lang w:eastAsia="he-IL"/>
        </w:rPr>
        <w:t xml:space="preserve"> </w:t>
      </w:r>
      <w:r>
        <w:rPr>
          <w:rFonts w:ascii="David;David" w:hAnsi="David;David"/>
          <w:b/>
          <w:b/>
          <w:bCs/>
          <w:rtl w:val="true"/>
          <w:lang w:eastAsia="he-IL"/>
        </w:rPr>
        <w:t>נ</w:t>
      </w:r>
      <w:r>
        <w:rPr>
          <w:rFonts w:cs="David;David" w:ascii="David;David" w:hAnsi="David;David"/>
          <w:b/>
          <w:bCs/>
          <w:rtl w:val="true"/>
          <w:lang w:eastAsia="he-IL"/>
        </w:rPr>
        <w:t xml:space="preserve">' </w:t>
      </w:r>
      <w:r>
        <w:rPr>
          <w:rFonts w:ascii="David;David" w:hAnsi="David;David"/>
          <w:b/>
          <w:b/>
          <w:bCs/>
          <w:rtl w:val="true"/>
          <w:lang w:eastAsia="he-IL"/>
        </w:rPr>
        <w:t>מדינת</w:t>
      </w:r>
      <w:r>
        <w:rPr>
          <w:rFonts w:ascii="David;David" w:hAnsi="David;David"/>
          <w:b/>
          <w:b/>
          <w:bCs/>
          <w:rtl w:val="true"/>
          <w:lang w:eastAsia="he-IL"/>
        </w:rPr>
        <w:t xml:space="preserve"> </w:t>
      </w:r>
      <w:r>
        <w:rPr>
          <w:rFonts w:ascii="David;David" w:hAnsi="David;David"/>
          <w:b/>
          <w:b/>
          <w:bCs/>
          <w:rtl w:val="true"/>
          <w:lang w:eastAsia="he-IL"/>
        </w:rPr>
        <w:t>ישראל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cs="David;David" w:ascii="David;David" w:hAnsi="David;David"/>
          <w:rtl w:val="true"/>
          <w:lang w:eastAsia="he-IL"/>
        </w:rPr>
        <w:t>(</w:t>
      </w:r>
      <w:r>
        <w:rPr>
          <w:rFonts w:ascii="David;David" w:hAnsi="David;David"/>
          <w:rtl w:val="true"/>
          <w:lang w:eastAsia="he-IL"/>
        </w:rPr>
        <w:t>ניתן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ביום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cs="David;David" w:ascii="David;David" w:hAnsi="David;David"/>
          <w:lang w:eastAsia="he-IL"/>
        </w:rPr>
        <w:t>23.6.15</w:t>
      </w:r>
      <w:r>
        <w:rPr>
          <w:rFonts w:cs="David;David" w:ascii="David;David" w:hAnsi="David;David"/>
          <w:rtl w:val="true"/>
          <w:lang w:eastAsia="he-IL"/>
        </w:rPr>
        <w:t xml:space="preserve">) </w:t>
      </w:r>
      <w:r>
        <w:rPr>
          <w:rFonts w:ascii="David;David" w:hAnsi="David;David"/>
          <w:rtl w:val="true"/>
          <w:lang w:eastAsia="he-IL"/>
        </w:rPr>
        <w:t>דחה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בית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המשפט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העליון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ערעור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על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גזר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דינו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של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בית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המשפט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המחוזי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בתל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אביב</w:t>
      </w:r>
      <w:r>
        <w:rPr>
          <w:rFonts w:cs="David;David" w:ascii="David;David" w:hAnsi="David;David"/>
          <w:rtl w:val="true"/>
          <w:lang w:eastAsia="he-IL"/>
        </w:rPr>
        <w:t xml:space="preserve">, </w:t>
      </w:r>
      <w:r>
        <w:rPr>
          <w:rFonts w:ascii="David;David" w:hAnsi="David;David"/>
          <w:rtl w:val="true"/>
          <w:lang w:eastAsia="he-IL"/>
        </w:rPr>
        <w:t>במסגרתו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הושת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על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המערער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עונש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מאסר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בן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cs="David;David" w:ascii="David;David" w:hAnsi="David;David"/>
          <w:lang w:eastAsia="he-IL"/>
        </w:rPr>
        <w:t>32</w:t>
      </w:r>
      <w:r>
        <w:rPr>
          <w:rFonts w:cs="David;David"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חודשי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מאסר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  <w:lang w:eastAsia="he-IL"/>
        </w:rPr>
        <w:t>בפועל</w:t>
      </w:r>
      <w:r>
        <w:rPr>
          <w:rFonts w:cs="David;David" w:ascii="David;David" w:hAnsi="David;David"/>
          <w:rtl w:val="true"/>
          <w:lang w:eastAsia="he-IL"/>
        </w:rPr>
        <w:t xml:space="preserve">, </w:t>
      </w:r>
      <w:r>
        <w:rPr>
          <w:rFonts w:ascii="David;David" w:hAnsi="David;David"/>
          <w:rtl w:val="true"/>
          <w:lang w:eastAsia="he-IL"/>
        </w:rPr>
        <w:t>בגין</w:t>
      </w:r>
      <w:r>
        <w:rPr>
          <w:rFonts w:ascii="David;David" w:hAnsi="David;David"/>
          <w:rtl w:val="true"/>
          <w:lang w:eastAsia="he-IL"/>
        </w:rPr>
        <w:t xml:space="preserve"> </w:t>
      </w:r>
      <w:r>
        <w:rPr>
          <w:rFonts w:ascii="David;David" w:hAnsi="David;David"/>
          <w:rtl w:val="true"/>
        </w:rPr>
        <w:t>עבירה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של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סחר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בנשק</w:t>
      </w:r>
      <w:r>
        <w:rPr>
          <w:rFonts w:ascii="David;David" w:hAnsi="David;David"/>
          <w:rtl w:val="true"/>
        </w:rPr>
        <w:t xml:space="preserve"> </w:t>
      </w:r>
      <w:r>
        <w:rPr>
          <w:rFonts w:cs="David;David" w:ascii="David;David" w:hAnsi="David;David"/>
          <w:rtl w:val="true"/>
        </w:rPr>
        <w:t>(</w:t>
      </w:r>
      <w:r>
        <w:rPr>
          <w:rFonts w:ascii="David;David" w:hAnsi="David;David"/>
          <w:rtl w:val="true"/>
        </w:rPr>
        <w:t>אקדח</w:t>
      </w:r>
      <w:r>
        <w:rPr>
          <w:rFonts w:cs="David;David" w:ascii="David;David" w:hAnsi="David;David"/>
          <w:rtl w:val="true"/>
        </w:rPr>
        <w:t xml:space="preserve">) </w:t>
      </w:r>
      <w:r>
        <w:rPr>
          <w:rFonts w:ascii="David;David" w:hAnsi="David;David"/>
          <w:rtl w:val="true"/>
        </w:rPr>
        <w:t>שבוצע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בצוותא</w:t>
      </w:r>
      <w:r>
        <w:rPr>
          <w:rFonts w:cs="David;David" w:ascii="David;David" w:hAnsi="David;David"/>
          <w:rtl w:val="true"/>
        </w:rPr>
        <w:t xml:space="preserve">, </w:t>
      </w:r>
      <w:r>
        <w:rPr>
          <w:rFonts w:ascii="David;David" w:hAnsi="David;David"/>
          <w:rtl w:val="true"/>
        </w:rPr>
        <w:t>עבירה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של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הפרעה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לשוטר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בעת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מילוי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תפקידו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ועבירת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איומים</w:t>
      </w:r>
      <w:r>
        <w:rPr>
          <w:rFonts w:cs="David;David" w:ascii="David;David" w:hAnsi="David;David"/>
          <w:rtl w:val="true"/>
        </w:rPr>
        <w:t>.</w:t>
      </w:r>
    </w:p>
    <w:p>
      <w:pPr>
        <w:pStyle w:val="Normal"/>
        <w:spacing w:lineRule="auto" w:line="360" w:before="120" w:after="120"/>
        <w:ind w:end="0"/>
        <w:contextualSpacing/>
        <w:jc w:val="both"/>
        <w:rPr>
          <w:rFonts w:ascii="David;David" w:hAnsi="David;David" w:cs="David;David"/>
          <w:sz w:val="12"/>
          <w:szCs w:val="12"/>
          <w:lang w:eastAsia="he-IL"/>
        </w:rPr>
      </w:pPr>
      <w:r>
        <w:rPr>
          <w:rFonts w:cs="David;David" w:ascii="David;David" w:hAnsi="David;David"/>
          <w:sz w:val="12"/>
          <w:szCs w:val="12"/>
          <w:rtl w:val="true"/>
          <w:lang w:eastAsia="he-IL"/>
        </w:rPr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lang w:eastAsia="he-IL"/>
        </w:rPr>
      </w:pPr>
      <w:r>
        <w:rPr>
          <w:rFonts w:ascii="Calibri" w:hAnsi="Calibri" w:cs="Calibri"/>
          <w:rtl w:val="true"/>
          <w:lang w:eastAsia="he-IL"/>
        </w:rPr>
        <w:t>ב</w:t>
      </w:r>
      <w:hyperlink r:id="rId54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2422/14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עלי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חד</w:t>
      </w:r>
      <w:r>
        <w:rPr>
          <w:rFonts w:cs="Calibri" w:ascii="Calibri" w:hAnsi="Calibri"/>
          <w:b/>
          <w:bCs/>
          <w:rtl w:val="true"/>
          <w:lang w:eastAsia="he-IL"/>
        </w:rPr>
        <w:t>'</w:t>
      </w:r>
      <w:r>
        <w:rPr>
          <w:rFonts w:ascii="Calibri" w:hAnsi="Calibri" w:cs="Calibri"/>
          <w:b/>
          <w:b/>
          <w:bCs/>
          <w:rtl w:val="true"/>
          <w:lang w:eastAsia="he-IL"/>
        </w:rPr>
        <w:t>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נ</w:t>
      </w:r>
      <w:r>
        <w:rPr>
          <w:rFonts w:cs="Calibri" w:ascii="Calibri" w:hAnsi="Calibri"/>
          <w:b/>
          <w:bCs/>
          <w:rtl w:val="true"/>
          <w:lang w:eastAsia="he-IL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eastAsia="he-IL"/>
        </w:rPr>
        <w:t>מדינת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ישראל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ניתן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ביום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21.12.14</w:t>
      </w:r>
      <w:r>
        <w:rPr>
          <w:rFonts w:cs="Calibri" w:ascii="Calibri" w:hAnsi="Calibri"/>
          <w:rtl w:val="true"/>
          <w:lang w:eastAsia="he-IL"/>
        </w:rPr>
        <w:t xml:space="preserve">) </w:t>
      </w:r>
      <w:r>
        <w:rPr>
          <w:rFonts w:ascii="Calibri" w:hAnsi="Calibri" w:cs="Calibri"/>
          <w:rtl w:val="true"/>
          <w:lang w:eastAsia="he-IL"/>
        </w:rPr>
        <w:t>דחה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העליון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ערעור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גזר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דינו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המחוזי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בירושלים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במסגרתו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הושת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המערער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b/>
          <w:bCs/>
          <w:lang w:eastAsia="he-IL"/>
        </w:rPr>
        <w:t>36</w:t>
      </w:r>
      <w:r>
        <w:rPr>
          <w:rFonts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חודשי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מאסר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בפועל</w:t>
      </w:r>
      <w:r>
        <w:rPr>
          <w:rFonts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בגין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ביצועה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עבירת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סחר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בנשק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לפי</w:t>
      </w:r>
      <w:r>
        <w:rPr>
          <w:rFonts w:ascii="Calibri" w:hAnsi="Calibri" w:cs="Calibri"/>
          <w:rtl w:val="true"/>
          <w:lang w:eastAsia="he-IL"/>
        </w:rPr>
        <w:t xml:space="preserve"> </w:t>
      </w:r>
      <w:hyperlink r:id="rId55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</w:t>
      </w:r>
      <w:hyperlink r:id="rId56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המערער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מכר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לסוכן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משטרתי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רובה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קרל</w:t>
      </w:r>
      <w:r>
        <w:rPr>
          <w:rFonts w:ascii="Calibri" w:hAnsi="Calibri" w:cs="Calibri"/>
          <w:b/>
          <w:b/>
          <w:bCs/>
          <w:rtl w:val="true"/>
        </w:rPr>
        <w:t xml:space="preserve">  </w:t>
      </w:r>
      <w:r>
        <w:rPr>
          <w:rFonts w:ascii="Calibri" w:hAnsi="Calibri" w:cs="Calibri"/>
          <w:b/>
          <w:b/>
          <w:bCs/>
          <w:rtl w:val="true"/>
        </w:rPr>
        <w:t>גוסטב</w:t>
      </w:r>
      <w:r>
        <w:rPr>
          <w:rFonts w:cs="Calibri" w:ascii="Calibri" w:hAnsi="Calibri"/>
          <w:b/>
          <w:bCs/>
          <w:rtl w:val="true"/>
        </w:rPr>
        <w:t xml:space="preserve">".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  <w:lang w:eastAsia="he-IL"/>
        </w:rPr>
        <w:t>נאשם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נוסף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בפרשה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הורשע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אף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הוא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בעבירת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סחר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בנשק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לפי</w:t>
      </w:r>
      <w:r>
        <w:rPr>
          <w:rFonts w:ascii="Calibri" w:hAnsi="Calibri" w:cs="Calibri"/>
          <w:rtl w:val="true"/>
          <w:lang w:eastAsia="he-IL"/>
        </w:rPr>
        <w:t xml:space="preserve"> </w:t>
      </w:r>
      <w:hyperlink r:id="rId5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</w:t>
      </w:r>
      <w:hyperlink r:id="rId58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בגינה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הושת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עליו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b/>
          <w:bCs/>
          <w:lang w:eastAsia="he-IL"/>
        </w:rPr>
        <w:t>20</w:t>
      </w:r>
      <w:r>
        <w:rPr>
          <w:rFonts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חודשי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מאסר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לריצוי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בפועל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והוא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שימש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למעשה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כמתווך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בה</w:t>
      </w:r>
      <w:r>
        <w:rPr>
          <w:rFonts w:cs="Franklin Gothic Medium" w:ascii="Franklin Gothic Medium" w:hAnsi="Franklin Gothic Medium"/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Arial" w:hAnsi="Arial" w:cs="Arial"/>
          <w:lang w:eastAsia="he-IL"/>
        </w:rPr>
      </w:pPr>
      <w:r>
        <w:rPr>
          <w:rFonts w:cs="Arial" w:ascii="Arial" w:hAnsi="Arial"/>
          <w:rtl w:val="true"/>
          <w:lang w:eastAsia="he-IL"/>
        </w:rPr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lang w:eastAsia="he-IL"/>
        </w:rPr>
      </w:pPr>
      <w:r>
        <w:rPr>
          <w:rFonts w:ascii="Arial" w:hAnsi="Arial" w:cs="Arial"/>
          <w:rtl w:val="true"/>
        </w:rPr>
        <w:t>ב</w:t>
      </w:r>
      <w:hyperlink r:id="rId5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1768/14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גנאיים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- 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22.7.14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נדחה ערעור על חומרת עונש מאסר של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שהושת על המערער שהורשע על פי הודאתו בשתי עבירות של סחר בנשק </w:t>
      </w:r>
      <w:r>
        <w:rPr>
          <w:rFonts w:cs="Arial" w:ascii="Arial" w:hAnsi="Arial"/>
          <w:rtl w:val="true"/>
        </w:rPr>
        <w:t>- (</w:t>
      </w:r>
      <w:r>
        <w:rPr>
          <w:rFonts w:ascii="Arial" w:hAnsi="Arial" w:cs="Arial"/>
          <w:rtl w:val="true"/>
        </w:rPr>
        <w:t>האחת –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והשנייה – תחמושת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בית משפט העליון קבע כי העונש אינו חורג ממדיניות הענישה הנהוגה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lang w:eastAsia="he-IL"/>
        </w:rPr>
      </w:pPr>
      <w:r>
        <w:rPr>
          <w:rFonts w:cs="Calibri" w:ascii="Calibri" w:hAnsi="Calibri"/>
          <w:rtl w:val="true"/>
          <w:lang w:eastAsia="he-IL"/>
        </w:rPr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/>
      </w:pPr>
      <w:r>
        <w:rPr>
          <w:rFonts w:ascii="Calibri" w:hAnsi="Calibri" w:cs="Calibri"/>
          <w:rtl w:val="true"/>
          <w:lang w:eastAsia="he-IL"/>
        </w:rPr>
        <w:t>בפסק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הדין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שניתן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במסגרת</w:t>
      </w:r>
      <w:r>
        <w:rPr>
          <w:rFonts w:ascii="Calibri" w:hAnsi="Calibri" w:cs="Calibri"/>
          <w:rtl w:val="true"/>
          <w:lang w:eastAsia="he-IL"/>
        </w:rPr>
        <w:t xml:space="preserve"> </w:t>
      </w:r>
      <w:hyperlink r:id="rId60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7317/13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חג</w:t>
      </w:r>
      <w:r>
        <w:rPr>
          <w:rFonts w:cs="Calibri" w:ascii="Calibri" w:hAnsi="Calibri"/>
          <w:b/>
          <w:bCs/>
          <w:rtl w:val="true"/>
          <w:lang w:eastAsia="he-IL"/>
        </w:rPr>
        <w:t>'</w:t>
      </w:r>
      <w:r>
        <w:rPr>
          <w:rFonts w:ascii="Calibri" w:hAnsi="Calibri" w:cs="Calibri"/>
          <w:b/>
          <w:b/>
          <w:bCs/>
          <w:rtl w:val="true"/>
          <w:lang w:eastAsia="he-IL"/>
        </w:rPr>
        <w:t>אב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נגד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מדינת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ישראל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ניתן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ביום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19.5.14</w:t>
      </w:r>
      <w:r>
        <w:rPr>
          <w:rFonts w:cs="Calibri" w:ascii="Calibri" w:hAnsi="Calibri"/>
          <w:rtl w:val="true"/>
          <w:lang w:eastAsia="he-IL"/>
        </w:rPr>
        <w:t xml:space="preserve">) </w:t>
      </w:r>
      <w:r>
        <w:rPr>
          <w:rFonts w:ascii="Calibri" w:hAnsi="Calibri" w:cs="Calibri"/>
          <w:rtl w:val="true"/>
          <w:lang w:eastAsia="he-IL"/>
        </w:rPr>
        <w:t>אישר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העליון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גזר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דינו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המחוזי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</w:t>
      </w:r>
      <w:r>
        <w:rPr>
          <w:rFonts w:ascii="Calibri" w:hAnsi="Calibri" w:cs="Calibri"/>
          <w:rtl w:val="true"/>
          <w:lang w:eastAsia="he-IL"/>
        </w:rPr>
        <w:t>חיפה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שבו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נקבע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מתחם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ענישה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בגין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אישום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של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סחר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בנשק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שלא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כדין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אקדח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מסוג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"</w:t>
      </w:r>
      <w:r>
        <w:rPr>
          <w:rFonts w:ascii="Calibri" w:hAnsi="Calibri" w:cs="Calibri"/>
          <w:rtl w:val="true"/>
          <w:lang w:eastAsia="he-IL"/>
        </w:rPr>
        <w:t>ברטה</w:t>
      </w:r>
      <w:r>
        <w:rPr>
          <w:rFonts w:cs="Calibri" w:ascii="Calibri" w:hAnsi="Calibri"/>
          <w:rtl w:val="true"/>
          <w:lang w:eastAsia="he-IL"/>
        </w:rPr>
        <w:t xml:space="preserve">" </w:t>
      </w:r>
      <w:r>
        <w:rPr>
          <w:rFonts w:ascii="Calibri" w:hAnsi="Calibri" w:cs="Calibri"/>
          <w:rtl w:val="true"/>
          <w:lang w:eastAsia="he-IL"/>
        </w:rPr>
        <w:t>ומחסנית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 xml:space="preserve">) </w:t>
      </w:r>
      <w:r>
        <w:rPr>
          <w:rFonts w:ascii="Calibri" w:hAnsi="Calibri" w:cs="Calibri"/>
          <w:b/>
          <w:b/>
          <w:bCs/>
          <w:rtl w:val="true"/>
          <w:lang w:eastAsia="he-IL"/>
        </w:rPr>
        <w:t>הנע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בין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שלוש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שנות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מאסר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בפועל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 </w:t>
      </w:r>
      <w:r>
        <w:rPr>
          <w:rFonts w:ascii="Calibri" w:hAnsi="Calibri" w:cs="Calibri"/>
          <w:b/>
          <w:b/>
          <w:bCs/>
          <w:rtl w:val="true"/>
          <w:lang w:eastAsia="he-IL"/>
        </w:rPr>
        <w:t>לחמש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שנים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וחצי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שנות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מאסר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בפועל</w:t>
      </w:r>
      <w:r>
        <w:rPr>
          <w:rFonts w:cs="Calibri" w:ascii="Calibri" w:hAnsi="Calibri"/>
          <w:b/>
          <w:bCs/>
          <w:rtl w:val="true"/>
          <w:lang w:eastAsia="he-IL"/>
        </w:rPr>
        <w:t>.</w:t>
      </w:r>
      <w:r>
        <w:rPr>
          <w:rFonts w:cs="Calibri" w:ascii="Calibri" w:hAnsi="Calibri"/>
          <w:rtl w:val="true"/>
          <w:lang w:eastAsia="he-IL"/>
        </w:rPr>
        <w:t xml:space="preserve"> 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lang w:eastAsia="he-IL"/>
        </w:rPr>
      </w:pPr>
      <w:r>
        <w:rPr>
          <w:rFonts w:cs="Calibri" w:ascii="Calibri" w:hAnsi="Calibri"/>
          <w:rtl w:val="true"/>
          <w:lang w:eastAsia="he-IL"/>
        </w:rPr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lang w:eastAsia="he-IL"/>
        </w:rPr>
      </w:pP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ומאוזן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המשקף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ופתרון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סכסוכים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61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2044/13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שטרית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19.2.2014</w:t>
      </w:r>
      <w:r>
        <w:rPr>
          <w:rtl w:val="true"/>
          <w:lang w:eastAsia="he-IL"/>
        </w:rPr>
        <w:t>)).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sz w:val="12"/>
          <w:szCs w:val="12"/>
          <w:lang w:eastAsia="he-IL"/>
        </w:rPr>
      </w:pPr>
      <w:r>
        <w:rPr>
          <w:rFonts w:cs="Calibri" w:ascii="Calibri" w:hAnsi="Calibri"/>
          <w:sz w:val="12"/>
          <w:szCs w:val="12"/>
          <w:rtl w:val="true"/>
          <w:lang w:eastAsia="he-IL"/>
        </w:rPr>
      </w:r>
    </w:p>
    <w:p>
      <w:pPr>
        <w:pStyle w:val="Normal"/>
        <w:spacing w:lineRule="auto" w:line="360" w:before="0" w:after="160"/>
        <w:ind w:start="785" w:end="0"/>
        <w:contextualSpacing/>
        <w:jc w:val="both"/>
        <w:rPr>
          <w:rFonts w:ascii="Arial" w:hAnsi="Arial" w:cs="Arial"/>
        </w:rPr>
      </w:pPr>
      <w:r>
        <w:rPr>
          <w:rFonts w:ascii="Calibri" w:hAnsi="Calibri" w:cs="Calibri"/>
          <w:rtl w:val="true"/>
        </w:rPr>
        <w:t>ב</w:t>
      </w:r>
      <w:hyperlink r:id="rId6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2186/13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עקול נגד 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18.2.14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בית המשפט העליון לא התערב במתחם ענישה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שנקבעו בבית המשפט המחוזי בחיפה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בגין עבירות של נשיאת נשק וסחר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לסוכן משטרתי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start="785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napToGrid w:val="false"/>
        <w:spacing w:lineRule="auto" w:line="360" w:before="120" w:after="120"/>
        <w:ind w:start="78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6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2606/13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חוסני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2.2.14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M</w:t>
      </w:r>
      <w:r>
        <w:rPr>
          <w:rFonts w:cs="Calibri" w:ascii="Calibri" w:hAnsi="Calibri"/>
        </w:rPr>
        <w:t>-16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וקבע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התערבותו</w:t>
      </w:r>
      <w:r>
        <w:rPr>
          <w:rFonts w:cs="Calibri" w:ascii="Calibri" w:hAnsi="Calibri"/>
          <w:rtl w:val="true"/>
        </w:rPr>
        <w:t xml:space="preserve">. </w:t>
      </w:r>
      <w:r>
        <w:rPr>
          <w:sz w:val="20"/>
          <w:sz w:val="20"/>
          <w:rtl w:val="true"/>
        </w:rPr>
        <w:t>המדובר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נעדר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הרשעות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קודמות</w:t>
      </w:r>
      <w:r>
        <w:rPr>
          <w:sz w:val="20"/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6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4956/13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עיסאוי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8.6.14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נדחה ערעור על חומרת עונש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שהוטל על ידי בית המשפט המחוזי בנצרת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לסחר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רכישה והחזקת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נשיאת נשק וקשירת קשר לביצוע פשע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כדורי אקדח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בית המשפט העליון התייחס למתחם הענישה שנקבע על ידי בית המשפט המחוזי ושנע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וקבע כי 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למצער ניתן לומר שמתחם העונש שקבע בית המשפט המחוזי אינו מחמיר ולא מצאנו לפרט מעבר לכך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napToGrid w:val="false"/>
        <w:spacing w:lineRule="auto" w:line="360" w:before="120" w:after="120"/>
        <w:ind w:start="782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6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526/14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12.03.14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ומחסנית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/>
      </w:pPr>
      <w:r>
        <w:rPr>
          <w:rtl w:val="true"/>
        </w:rPr>
        <w:t>ב</w:t>
      </w:r>
      <w:hyperlink r:id="rId6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24207-06-13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6.7.14</w:t>
      </w:r>
      <w:r>
        <w:rPr>
          <w:rtl w:val="true"/>
        </w:rPr>
        <w:t xml:space="preserve">),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tl w:val="true"/>
        </w:rPr>
        <w:t xml:space="preserve">)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</w:t>
      </w:r>
      <w:r>
        <w:rPr>
          <w:rtl w:val="true"/>
        </w:rPr>
        <w:t>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/>
      </w:pPr>
      <w:r>
        <w:rPr>
          <w:rtl w:val="true"/>
        </w:rPr>
        <w:t>ב</w:t>
      </w:r>
      <w:hyperlink r:id="rId6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36381-05-15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31.12.15</w:t>
      </w:r>
      <w:r>
        <w:rPr>
          <w:rtl w:val="true"/>
        </w:rPr>
        <w:t xml:space="preserve">),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),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ב</w:t>
      </w:r>
      <w:hyperlink r:id="rId6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1094-05-15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איברהים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30/05/2016</w:t>
      </w:r>
      <w:r>
        <w:rPr>
          <w:rtl w:val="true"/>
        </w:rPr>
        <w:t xml:space="preserve">),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782" w:end="0"/>
        <w:contextualSpacing/>
        <w:jc w:val="both"/>
        <w:rPr>
          <w:rFonts w:ascii="Calibri" w:hAnsi="Calibri" w:cs="Calibri"/>
        </w:rPr>
      </w:pPr>
      <w:r>
        <w:rPr>
          <w:rFonts w:ascii="David;David" w:hAnsi="David;David"/>
          <w:rtl w:val="true"/>
        </w:rPr>
        <w:t>אשר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ל</w:t>
      </w:r>
      <w:r>
        <w:rPr>
          <w:rFonts w:ascii="David;David" w:hAnsi="David;David"/>
          <w:b/>
          <w:b/>
          <w:bCs/>
          <w:rtl w:val="true"/>
        </w:rPr>
        <w:t>נסיבות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הקשורות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בביצוע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ascii="David;David" w:hAnsi="David;David"/>
          <w:b/>
          <w:b/>
          <w:bCs/>
          <w:rtl w:val="true"/>
        </w:rPr>
        <w:t>העבירה</w:t>
      </w:r>
      <w:r>
        <w:rPr>
          <w:rFonts w:ascii="David;David" w:hAnsi="David;David"/>
          <w:b/>
          <w:b/>
          <w:bCs/>
          <w:rtl w:val="true"/>
        </w:rPr>
        <w:t xml:space="preserve"> </w:t>
      </w:r>
      <w:r>
        <w:rPr>
          <w:rFonts w:cs="David;David" w:ascii="David;David" w:hAnsi="David;David"/>
          <w:rtl w:val="true"/>
        </w:rPr>
        <w:t>(</w:t>
      </w:r>
      <w:r>
        <w:rPr>
          <w:rFonts w:ascii="David;David" w:hAnsi="David;David"/>
          <w:color w:val="000000"/>
          <w:rtl w:val="true"/>
        </w:rPr>
        <w:t>סעיף</w:t>
      </w:r>
      <w:r>
        <w:rPr>
          <w:rFonts w:ascii="David;David" w:hAnsi="David;David"/>
          <w:color w:val="000000"/>
          <w:rtl w:val="true"/>
        </w:rPr>
        <w:t xml:space="preserve"> </w:t>
      </w:r>
      <w:hyperlink r:id="rId69">
        <w:r>
          <w:rPr>
            <w:rStyle w:val="Hyperlink"/>
            <w:rFonts w:cs="David;David" w:ascii="David;David" w:hAnsi="David;David"/>
            <w:color w:val="0000FF"/>
            <w:u w:val="single"/>
          </w:rPr>
          <w:t>40</w:t>
        </w:r>
        <w:r>
          <w:rPr>
            <w:rStyle w:val="Hyperlink"/>
            <w:rFonts w:cs="David;David" w:ascii="David;David" w:hAnsi="David;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;David" w:hAnsi="David;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;David" w:ascii="David;David" w:hAnsi="David;David"/>
            <w:color w:val="0000FF"/>
            <w:u w:val="single"/>
            <w:rtl w:val="true"/>
          </w:rPr>
          <w:t>'</w:t>
        </w:r>
      </w:hyperlink>
      <w:r>
        <w:rPr>
          <w:rFonts w:cs="David;David"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לחוק</w:t>
      </w:r>
      <w:r>
        <w:rPr>
          <w:rFonts w:cs="David;David" w:ascii="David;David" w:hAnsi="David;David"/>
          <w:rtl w:val="true"/>
        </w:rPr>
        <w:t xml:space="preserve">), </w:t>
      </w:r>
      <w:r>
        <w:rPr>
          <w:rFonts w:ascii="David;David" w:hAnsi="David;David"/>
          <w:rtl w:val="true"/>
        </w:rPr>
        <w:t>יש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לתת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את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הדעת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לשיקולים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הבאים</w:t>
      </w:r>
      <w:r>
        <w:rPr>
          <w:rFonts w:cs="David;David" w:ascii="David;David" w:hAnsi="David;David"/>
          <w:rtl w:val="true"/>
        </w:rPr>
        <w:t xml:space="preserve">: </w:t>
      </w:r>
      <w:r>
        <w:rPr>
          <w:rFonts w:ascii="Franklin Gothic Medium" w:hAnsi="Franklin Gothic Medium" w:cs="Franklin Gothic Medium"/>
          <w:rtl w:val="true"/>
        </w:rPr>
        <w:t>מחד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עסקינן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בעבירות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שקדם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להם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תכנון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המוקדם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באישום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השני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הנאשם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לקח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את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הנשק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מהמקום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החביא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אותו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וחיפש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מקום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יעברו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רכבים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של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כוחות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הביטחון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בכדי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לירות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עליהם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וירה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חמישה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כדורים</w:t>
      </w:r>
      <w:r>
        <w:rPr>
          <w:rFonts w:cs="Franklin Gothic Medium" w:ascii="Franklin Gothic Medium" w:hAnsi="Franklin Gothic Medium"/>
          <w:rtl w:val="true"/>
        </w:rPr>
        <w:t xml:space="preserve">. </w:t>
      </w:r>
      <w:r>
        <w:rPr>
          <w:rFonts w:ascii="Franklin Gothic Medium" w:hAnsi="Franklin Gothic Medium" w:cs="Franklin Gothic Medium"/>
          <w:rtl w:val="true"/>
        </w:rPr>
        <w:t>גם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באישום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cs="Franklin Gothic Medium" w:ascii="Franklin Gothic Medium" w:hAnsi="Franklin Gothic Medium"/>
        </w:rPr>
        <w:t>4</w:t>
      </w:r>
      <w:r>
        <w:rPr>
          <w:rFonts w:cs="Franklin Gothic Medium" w:ascii="Franklin Gothic Medium" w:hAnsi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ואישום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cs="Franklin Gothic Medium" w:ascii="Franklin Gothic Medium" w:hAnsi="Franklin Gothic Medium"/>
        </w:rPr>
        <w:t>5</w:t>
      </w:r>
      <w:r>
        <w:rPr>
          <w:rFonts w:cs="Franklin Gothic Medium" w:ascii="Franklin Gothic Medium" w:hAnsi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הנאשם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ביצע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עסקאות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שלא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נראה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כי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היו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בלתי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מתוכננות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שכללו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שיחות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עם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אחרים</w:t>
      </w:r>
      <w:r>
        <w:rPr>
          <w:rFonts w:cs="Franklin Gothic Medium" w:ascii="Franklin Gothic Medium" w:hAnsi="Franklin Gothic Medium"/>
          <w:rtl w:val="true"/>
        </w:rPr>
        <w:t xml:space="preserve">. </w:t>
      </w:r>
      <w:r>
        <w:rPr>
          <w:rFonts w:ascii="Franklin Gothic Medium" w:hAnsi="Franklin Gothic Medium" w:cs="Franklin Gothic Medium"/>
          <w:rtl w:val="true"/>
        </w:rPr>
        <w:t>כן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ההצעה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לבצע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את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העסקאות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באה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מיוזמת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הנאשם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ללא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הדחת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סוכן</w:t>
      </w:r>
      <w:r>
        <w:rPr>
          <w:rFonts w:cs="Franklin Gothic Medium" w:ascii="Franklin Gothic Medium" w:hAnsi="Franklin Gothic Medium"/>
          <w:rtl w:val="true"/>
        </w:rPr>
        <w:t xml:space="preserve">. </w:t>
      </w:r>
      <w:r>
        <w:rPr>
          <w:rFonts w:ascii="Franklin Gothic Medium" w:hAnsi="Franklin Gothic Medium" w:cs="Franklin Gothic Medium"/>
          <w:rtl w:val="true"/>
        </w:rPr>
        <w:t>העונש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המֵרבי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שנקצב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בצד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עבירת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הסחר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בנשק</w:t>
      </w:r>
      <w:r>
        <w:rPr>
          <w:rFonts w:ascii="Franklin Gothic Medium" w:hAnsi="Franklin Gothic Medium" w:cs="Franklin Gothic Medium"/>
          <w:rtl w:val="true"/>
        </w:rPr>
        <w:t xml:space="preserve"> – </w:t>
      </w:r>
      <w:r>
        <w:rPr>
          <w:rFonts w:ascii="Franklin Gothic Medium" w:hAnsi="Franklin Gothic Medium" w:cs="Franklin Gothic Medium"/>
          <w:rtl w:val="true"/>
        </w:rPr>
        <w:t>העומד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על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cs="Franklin Gothic Medium" w:ascii="Franklin Gothic Medium" w:hAnsi="Franklin Gothic Medium"/>
        </w:rPr>
        <w:t>15</w:t>
      </w:r>
      <w:r>
        <w:rPr>
          <w:rFonts w:cs="Franklin Gothic Medium" w:ascii="Franklin Gothic Medium" w:hAnsi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שנים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בנוסף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יש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להתחשב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בכך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שמדובר</w:t>
      </w:r>
      <w:r>
        <w:rPr>
          <w:rFonts w:ascii="Franklin Gothic Medium" w:hAnsi="Franklin Gothic Medium" w:cs="Franklin Gothic Medium"/>
          <w:rtl w:val="true"/>
        </w:rPr>
        <w:t xml:space="preserve"> בנשק אוטומטי</w:t>
      </w:r>
      <w:r>
        <w:rPr>
          <w:rFonts w:cs="Franklin Gothic Medium" w:ascii="Franklin Gothic Medium" w:hAnsi="Franklin Gothic Medium"/>
          <w:rtl w:val="true"/>
        </w:rPr>
        <w:t>,</w:t>
      </w:r>
      <w:r>
        <w:rPr>
          <w:rFonts w:cs="Franklin Gothic Medium" w:ascii="Franklin Gothic Medium" w:hAnsi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ברובה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מסוג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cs="Franklin Gothic Medium" w:ascii="Franklin Gothic Medium" w:hAnsi="Franklin Gothic Medium"/>
          <w:rtl w:val="true"/>
        </w:rPr>
        <w:t>"</w:t>
      </w:r>
      <w:r>
        <w:rPr>
          <w:rFonts w:ascii="Franklin Gothic Medium" w:hAnsi="Franklin Gothic Medium" w:cs="Franklin Gothic Medium"/>
          <w:rtl w:val="true"/>
        </w:rPr>
        <w:t>קרל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גוסטב</w:t>
      </w:r>
      <w:r>
        <w:rPr>
          <w:rFonts w:cs="Franklin Gothic Medium" w:ascii="Franklin Gothic Medium" w:hAnsi="Franklin Gothic Medium"/>
          <w:rtl w:val="true"/>
        </w:rPr>
        <w:t xml:space="preserve">" </w:t>
      </w:r>
      <w:r>
        <w:rPr>
          <w:rFonts w:ascii="Franklin Gothic Medium" w:hAnsi="Franklin Gothic Medium" w:cs="Franklin Gothic Medium"/>
          <w:rtl w:val="true"/>
        </w:rPr>
        <w:t>ו</w:t>
      </w:r>
      <w:r>
        <w:rPr>
          <w:rFonts w:cs="Franklin Gothic Medium" w:ascii="Franklin Gothic Medium" w:hAnsi="Franklin Gothic Medium"/>
          <w:rtl w:val="true"/>
        </w:rPr>
        <w:t>"</w:t>
      </w:r>
      <w:r>
        <w:rPr>
          <w:rFonts w:ascii="Franklin Gothic Medium" w:hAnsi="Franklin Gothic Medium" w:cs="Franklin Gothic Medium"/>
          <w:rtl w:val="true"/>
        </w:rPr>
        <w:t>תבור</w:t>
      </w:r>
      <w:r>
        <w:rPr>
          <w:rFonts w:cs="Franklin Gothic Medium" w:ascii="Franklin Gothic Medium" w:hAnsi="Franklin Gothic Medium"/>
          <w:rtl w:val="true"/>
        </w:rPr>
        <w:t xml:space="preserve">", </w:t>
      </w:r>
      <w:r>
        <w:rPr>
          <w:rFonts w:ascii="Calibri" w:hAnsi="Calibri" w:cs="Calibri"/>
          <w:rtl w:val="true"/>
        </w:rPr>
        <w:t>המאפשר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Arial" w:hAnsi="Arial" w:cs="Arial"/>
          <w:rtl w:val="true"/>
        </w:rPr>
        <w:t>או לגרימת נזק היקפי גדול בגוף האדם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והוא בעל פוטנציאל קטילה של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פעמיים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כן באישום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מכר לאחר גם עשרה כדורי תחמושת לנשק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חמור ענינו של הנאשם ממקרה של סחר בנשק בעל קנה קצר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מסוג אקדח או באחזקה של חלקי נשק</w:t>
      </w:r>
      <w:r>
        <w:rPr>
          <w:rFonts w:cs="Arial" w:ascii="Arial" w:hAnsi="Arial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שלצדן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לקיפוד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Arial" w:hAnsi="Arial" w:cs="Arial"/>
          <w:rtl w:val="true"/>
        </w:rPr>
        <w:t>נגישותו של הנאשם לכלי הנשק שבאה לידי ביטוי ביכולתו לפעול במהירות למימוש העסקאות מפניית האחרים אליו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מלמדים על מידת מעורבותו בעבירות סחר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Calibri" w:hAnsi="Calibri" w:cs="Calibri"/>
          <w:rtl w:val="true"/>
        </w:rPr>
        <w:t>הסיבות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Franklin Gothic Medium" w:hAnsi="Franklin Gothic Medium" w:cs="Franklin Gothic Medium"/>
          <w:rtl w:val="true"/>
        </w:rPr>
        <w:t>כן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מדובר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בשתי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עבירות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של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סחר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בנשק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בעבירה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של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נשיאת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נשק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ועבירת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רכישת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נשק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כך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שעולה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ששימושו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והסחר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בנשק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לא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היה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חד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פעמי</w:t>
      </w:r>
      <w:r>
        <w:rPr>
          <w:rFonts w:cs="Franklin Gothic Medium" w:ascii="Franklin Gothic Medium" w:hAnsi="Franklin Gothic Medium"/>
          <w:rtl w:val="true"/>
        </w:rPr>
        <w:t xml:space="preserve">. </w:t>
      </w:r>
      <w:r>
        <w:rPr>
          <w:rFonts w:ascii="Franklin Gothic Medium" w:hAnsi="Franklin Gothic Medium" w:cs="Franklin Gothic Medium"/>
          <w:rtl w:val="true"/>
        </w:rPr>
        <w:t>מאידך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שקלתי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את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העובדה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באישום 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שרכבי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;David" w:hAnsi="David;David"/>
          <w:rtl w:val="true"/>
        </w:rPr>
        <w:t>כך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שמידת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הפגיעה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בערך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המוגן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היתה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בעוצמה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בינונית</w:t>
      </w:r>
      <w:r>
        <w:rPr>
          <w:rFonts w:cs="David;David" w:ascii="David;David" w:hAnsi="David;David"/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782" w:end="0"/>
        <w:contextualSpacing/>
        <w:jc w:val="both"/>
        <w:rPr/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שבחנתי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</w:rPr>
        <w:t>0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בצד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רכיבי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ascii="Calibri" w:hAnsi="Calibri"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7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54615-03-16</w:t>
        </w:r>
      </w:hyperlink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פגום</w:t>
      </w:r>
      <w:r>
        <w:rPr>
          <w:rtl w:val="true"/>
        </w:rPr>
        <w:t>).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rFonts w:ascii="Franklin Gothic Medium" w:hAnsi="Franklin Gothic Medium" w:cs="Franklin Gothic Medium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לחרוג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כמפורט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לחרוג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120" w:after="120"/>
        <w:ind w:firstLine="425" w:end="0"/>
        <w:jc w:val="both"/>
        <w:rPr>
          <w:rFonts w:ascii="Calibri" w:hAnsi="Calibri" w:cs="Calibri"/>
          <w:bCs/>
          <w:u w:val="single"/>
          <w:lang w:eastAsia="he-IL"/>
        </w:rPr>
      </w:pPr>
      <w:r>
        <w:rPr>
          <w:rFonts w:cs="Calibri" w:ascii="Calibri" w:hAnsi="Calibri"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firstLine="425" w:end="0"/>
        <w:jc w:val="both"/>
        <w:rPr>
          <w:rFonts w:ascii="Calibri" w:hAnsi="Calibri" w:cs="Calibri"/>
          <w:bCs/>
          <w:u w:val="single"/>
          <w:lang w:eastAsia="he-IL"/>
        </w:rPr>
      </w:pPr>
      <w:r>
        <w:rPr>
          <w:rFonts w:ascii="Calibri" w:hAnsi="Calibri" w:cs="Calibri"/>
          <w:bCs/>
          <w:u w:val="single"/>
          <w:rtl w:val="true"/>
          <w:lang w:eastAsia="he-IL"/>
        </w:rPr>
        <w:t>העונש</w:t>
      </w:r>
      <w:r>
        <w:rPr>
          <w:rFonts w:ascii="Calibri" w:hAnsi="Calibri" w:cs="Calibri"/>
          <w:bCs/>
          <w:u w:val="single"/>
          <w:rtl w:val="true"/>
          <w:lang w:eastAsia="he-IL"/>
        </w:rPr>
        <w:t xml:space="preserve"> </w:t>
      </w:r>
      <w:r>
        <w:rPr>
          <w:rFonts w:ascii="Calibri" w:hAnsi="Calibri" w:cs="Calibri"/>
          <w:bCs/>
          <w:u w:val="single"/>
          <w:rtl w:val="true"/>
          <w:lang w:eastAsia="he-IL"/>
        </w:rPr>
        <w:t>המתאים</w:t>
      </w:r>
      <w:r>
        <w:rPr>
          <w:rFonts w:ascii="Calibri" w:hAnsi="Calibri" w:cs="Calibri"/>
          <w:bCs/>
          <w:u w:val="single"/>
          <w:rtl w:val="true"/>
          <w:lang w:eastAsia="he-IL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57" w:start="782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ascii="David;David" w:hAnsi="David;David"/>
          <w:rtl w:val="true"/>
        </w:rPr>
        <w:t>בגזירת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העונש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המתאים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לנאשם</w:t>
      </w:r>
      <w:r>
        <w:rPr>
          <w:rFonts w:cs="David;David" w:ascii="David;David" w:hAnsi="David;David"/>
          <w:rtl w:val="true"/>
        </w:rPr>
        <w:t xml:space="preserve">, </w:t>
      </w:r>
      <w:r>
        <w:rPr>
          <w:rFonts w:ascii="David;David" w:hAnsi="David;David"/>
          <w:rtl w:val="true"/>
        </w:rPr>
        <w:t>בגדרי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מתחם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העונש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ההולם</w:t>
      </w:r>
      <w:r>
        <w:rPr>
          <w:rFonts w:cs="David;David" w:ascii="David;David" w:hAnsi="David;David"/>
          <w:rtl w:val="true"/>
        </w:rPr>
        <w:t xml:space="preserve">, </w:t>
      </w:r>
      <w:r>
        <w:rPr>
          <w:rFonts w:ascii="David;David" w:hAnsi="David;David"/>
          <w:rtl w:val="true"/>
        </w:rPr>
        <w:t>יש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להתחשב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בנסיבות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שאינן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קשורות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בביצוע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העבירה</w:t>
      </w:r>
      <w:r>
        <w:rPr>
          <w:rFonts w:ascii="David;David" w:hAnsi="David;David"/>
          <w:rtl w:val="true"/>
        </w:rPr>
        <w:t xml:space="preserve"> </w:t>
      </w:r>
      <w:r>
        <w:rPr>
          <w:rFonts w:cs="David;David" w:ascii="David;David" w:hAnsi="David;David"/>
          <w:rtl w:val="true"/>
        </w:rPr>
        <w:t>(</w:t>
      </w:r>
      <w:hyperlink r:id="rId71">
        <w:r>
          <w:rPr>
            <w:rStyle w:val="Hyperlink"/>
            <w:rFonts w:ascii="David;David" w:hAnsi="David;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;David" w:ascii="David;David" w:hAnsi="David;David"/>
            <w:color w:val="0000FF"/>
            <w:u w:val="single"/>
          </w:rPr>
          <w:t>40</w:t>
        </w:r>
        <w:r>
          <w:rPr>
            <w:rStyle w:val="Hyperlink"/>
            <w:rFonts w:cs="David;David" w:ascii="David;David" w:hAnsi="David;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;David" w:hAnsi="David;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;David" w:ascii="David;David" w:hAnsi="David;David"/>
            <w:color w:val="0000FF"/>
            <w:u w:val="single"/>
            <w:rtl w:val="true"/>
          </w:rPr>
          <w:t>'</w:t>
        </w:r>
      </w:hyperlink>
      <w:r>
        <w:rPr>
          <w:rFonts w:cs="David;David" w:ascii="David;David" w:hAnsi="David;David"/>
          <w:rtl w:val="true"/>
        </w:rPr>
        <w:t xml:space="preserve">). </w:t>
      </w:r>
      <w:r>
        <w:rPr>
          <w:rFonts w:ascii="David;David" w:hAnsi="David;David"/>
          <w:rtl w:val="true"/>
        </w:rPr>
        <w:t>במסגרת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זו</w:t>
      </w:r>
      <w:r>
        <w:rPr>
          <w:rFonts w:ascii="David;David" w:hAnsi="David;David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לנאשם טרם מלאו </w:t>
      </w: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 בעת ביצוע 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טרם מעצרו הוא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למד חינוך גופני באוניברסיטה </w:t>
      </w:r>
      <w:r>
        <w:rPr>
          <w:rFonts w:ascii="Calibri" w:hAnsi="Calibri" w:cs="Calibri"/>
          <w:rtl w:val="true"/>
        </w:rPr>
        <w:t>וגדל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 במשפחה תומכת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המסתייגת ממעשיו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ומעוניינת לסייע לו עם שחרורו מהמאסר על מנת שישוב לדרך המלך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עליהם </w:t>
      </w:r>
      <w:r>
        <w:rPr>
          <w:rFonts w:ascii="Calibri" w:hAnsi="Calibri" w:cs="Calibri"/>
          <w:rtl w:val="true"/>
        </w:rPr>
        <w:t>וחסך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ככלל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בפרט כאשר מדובר בתנאי המעצר והמאסר של האסירים הביטחוניים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התרשמתי כי ההליך הפלילי הציב לנאשם גבולות ברורים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יש לזקוף לזכותו כי הוא 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וזוהי מעידתו הראשונה והיחידה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מאידך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למזער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ותלה את מעשיו בגורמים חיצונים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בהם מצב הביטחון האישי הבעייתי באזור מגוריו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שאינו יכול להוות הצדקה למעשיו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 אינו רלוונטי לעבירות הסחר בנשק אותן ביצע וכן הירי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82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782" w:end="0"/>
        <w:contextualSpacing/>
        <w:jc w:val="both"/>
        <w:rPr>
          <w:lang w:eastAsia="he-IL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לצורך בהרתעת </w:t>
      </w:r>
      <w:r>
        <w:rPr>
          <w:rFonts w:ascii="Calibri" w:hAnsi="Calibri" w:cs="Calibri"/>
          <w:rtl w:val="true"/>
        </w:rPr>
        <w:t>הרבים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 שעולה אף מדברי אביו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הנשק נפוץ מאוד באזור מגוריהם ועל כן יש לנהל מלחמת חורמה בתופעה זו</w:t>
      </w:r>
      <w:r>
        <w:rPr>
          <w:rFonts w:cs="Calibri" w:ascii="Calibri" w:hAnsi="Calibri"/>
          <w:rtl w:val="true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גישתו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hyperlink r:id="rId72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5681/14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טאטור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1.2.15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בקבעו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tl w:val="true"/>
          <w:lang w:eastAsia="he-IL"/>
        </w:rPr>
        <w:t>: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sz w:val="12"/>
          <w:szCs w:val="12"/>
          <w:lang w:eastAsia="he-IL"/>
        </w:rPr>
      </w:pPr>
      <w:r>
        <w:rPr>
          <w:sz w:val="12"/>
          <w:szCs w:val="12"/>
          <w:rtl w:val="true"/>
          <w:lang w:eastAsia="he-IL"/>
        </w:rPr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דרך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המלך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בכגון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דא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בסופו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צריכה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ככלל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מאחורי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סורג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ובריח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וזאת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בראש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וראשונה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להרתעת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היחיד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והרבים</w:t>
      </w:r>
      <w:r>
        <w:rPr>
          <w:b/>
          <w:bCs/>
          <w:rtl w:val="true"/>
          <w:lang w:eastAsia="he-IL"/>
        </w:rPr>
        <w:t xml:space="preserve">; </w:t>
      </w:r>
      <w:r>
        <w:rPr>
          <w:b/>
          <w:b/>
          <w:bCs/>
          <w:rtl w:val="true"/>
          <w:lang w:eastAsia="he-IL"/>
        </w:rPr>
        <w:t>אורך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התקופה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כרוך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כמובן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בנסיבות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הספציפיות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והמעשה</w:t>
      </w:r>
      <w:r>
        <w:rPr>
          <w:b/>
          <w:bCs/>
          <w:rtl w:val="true"/>
          <w:lang w:eastAsia="he-IL"/>
        </w:rPr>
        <w:t>...</w:t>
      </w:r>
      <w:r>
        <w:rPr>
          <w:b/>
          <w:b/>
          <w:bCs/>
          <w:rtl w:val="true"/>
          <w:lang w:eastAsia="he-IL"/>
        </w:rPr>
        <w:t>אך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ובנסיבות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הישראליות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בידיים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מורשות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עלול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להתגלגל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למקום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טוב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וכדברי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האומר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'</w:t>
      </w:r>
      <w:r>
        <w:rPr>
          <w:b/>
          <w:b/>
          <w:bCs/>
          <w:rtl w:val="true"/>
          <w:lang w:eastAsia="he-IL"/>
        </w:rPr>
        <w:t>מחזה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שבמערכתו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הראשונה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נראה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אקדח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עשוי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האקדח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במערכה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האחרונה</w:t>
      </w:r>
      <w:r>
        <w:rPr>
          <w:b/>
          <w:bCs/>
          <w:rtl w:val="true"/>
          <w:lang w:eastAsia="he-IL"/>
        </w:rPr>
        <w:t xml:space="preserve">'..."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b/>
          <w:bCs/>
          <w:sz w:val="12"/>
          <w:szCs w:val="12"/>
          <w:lang w:eastAsia="he-IL"/>
        </w:rPr>
      </w:pPr>
      <w:r>
        <w:rPr>
          <w:rFonts w:cs="Calibri" w:ascii="Calibri" w:hAnsi="Calibri"/>
          <w:b/>
          <w:bCs/>
          <w:sz w:val="12"/>
          <w:szCs w:val="12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782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באיזון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הנמוך  בינוני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מתן דגש לגילו הצעיר ולכך שמדובר במאסרו הראשון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57" w:start="782" w:end="0"/>
        <w:contextualSpacing/>
        <w:jc w:val="both"/>
        <w:rPr>
          <w:rFonts w:ascii="Calibri" w:hAnsi="Calibri" w:cs="Calibri"/>
        </w:rPr>
      </w:pPr>
      <w:r>
        <w:rPr>
          <w:rFonts w:ascii="David;David" w:hAnsi="David;David"/>
          <w:rtl w:val="true"/>
        </w:rPr>
        <w:t>לאור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כל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האמור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לעיל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החלטתי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להטיל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על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הנאשם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את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העונשים</w:t>
      </w:r>
      <w:r>
        <w:rPr>
          <w:rFonts w:ascii="David;David" w:hAnsi="David;David"/>
          <w:rtl w:val="true"/>
        </w:rPr>
        <w:t xml:space="preserve"> </w:t>
      </w:r>
      <w:r>
        <w:rPr>
          <w:rFonts w:ascii="David;David" w:hAnsi="David;David"/>
          <w:rtl w:val="true"/>
        </w:rPr>
        <w:t>כדלהלן</w:t>
      </w:r>
      <w:r>
        <w:rPr>
          <w:rFonts w:cs="David;David" w:ascii="David;David" w:hAnsi="David;David"/>
          <w:rtl w:val="true"/>
        </w:rPr>
        <w:t xml:space="preserve">: </w:t>
      </w:r>
    </w:p>
    <w:p>
      <w:pPr>
        <w:pStyle w:val="Normal"/>
        <w:numPr>
          <w:ilvl w:val="1"/>
          <w:numId w:val="3"/>
        </w:numPr>
        <w:spacing w:lineRule="auto" w:line="360" w:before="120" w:after="120"/>
        <w:ind w:hanging="360" w:start="19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46</w:t>
      </w:r>
      <w:r>
        <w:rPr>
          <w:rFonts w:cs="Calibri" w:ascii="Calibri" w:hAnsi="Calibri"/>
          <w:color w:val="FF0000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9.4.16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1"/>
          <w:numId w:val="3"/>
        </w:numPr>
        <w:spacing w:lineRule="auto" w:line="360" w:before="120" w:after="120"/>
        <w:ind w:hanging="360" w:start="19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1"/>
          <w:numId w:val="3"/>
        </w:numPr>
        <w:spacing w:lineRule="auto" w:line="360" w:before="120" w:after="120"/>
        <w:ind w:hanging="360" w:start="19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ascii="Calibri" w:hAnsi="Calibri" w:cs="Calibri"/>
          <w:rtl w:val="true"/>
        </w:rPr>
        <w:t xml:space="preserve"> או כל עבירות אלימות למעט תגרה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autoSpaceDE w:val="false"/>
        <w:spacing w:lineRule="auto" w:line="360" w:before="100" w:after="100"/>
        <w:ind w:end="567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והנאשם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;David" w:hAnsi="David;David" w:cs="David;David"/>
          <w:color w:val="FFFFFF"/>
          <w:sz w:val="2"/>
          <w:szCs w:val="2"/>
        </w:rPr>
      </w:pPr>
      <w:r>
        <w:rPr>
          <w:rFonts w:cs="David;David" w:ascii="David;David" w:hAnsi="David;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;David" w:hAnsi="David;David" w:cs="David;David"/>
          <w:color w:val="000000"/>
          <w:sz w:val="22"/>
          <w:szCs w:val="22"/>
        </w:rPr>
      </w:pPr>
      <w:r>
        <w:rPr>
          <w:rFonts w:ascii="David;David" w:hAnsi="David;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;David" w:ascii="David;David" w:hAnsi="David;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;David" w:hAnsi="David;David" w:cs="David;David"/>
          <w:color w:val="000000"/>
          <w:sz w:val="22"/>
          <w:szCs w:val="22"/>
          <w:u w:val="single"/>
        </w:rPr>
      </w:pPr>
      <w:r>
        <w:rPr>
          <w:rFonts w:cs="David;David" w:ascii="David;David" w:hAnsi="David;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;David" w:hAnsi="David;David" w:cs="David;David"/>
          <w:color w:val="0000FF"/>
          <w:sz w:val="22"/>
          <w:szCs w:val="22"/>
          <w:u w:val="single"/>
        </w:rPr>
      </w:pPr>
      <w:r>
        <w:rPr>
          <w:rFonts w:cs="David;David" w:ascii="David;David" w:hAnsi="David;David"/>
          <w:color w:val="0000FF"/>
          <w:sz w:val="22"/>
          <w:szCs w:val="22"/>
          <w:u w:val="single"/>
          <w:rtl w:val="true"/>
        </w:rPr>
      </w:r>
    </w:p>
    <w:sectPr>
      <w:headerReference w:type="default" r:id="rId74"/>
      <w:footerReference w:type="default" r:id="rId7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imes New (W1)">
    <w:altName w:val="Times New Roman"/>
    <w:charset w:val="00" w:characterSet="windows-1252"/>
    <w:family w:val="roman"/>
    <w:pitch w:val="variable"/>
  </w:font>
  <w:font w:name="A028 Extrabold">
    <w:altName w:val="Times New Roman"/>
    <w:charset w:val="00" w:characterSet="windows-125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lin Gothic Mediu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David" w:hAnsi="David;David" w:cs="David;David"/>
        <w:color w:val="000000"/>
        <w:sz w:val="22"/>
        <w:szCs w:val="22"/>
      </w:rPr>
    </w:pPr>
    <w:r>
      <w:rPr>
        <w:rFonts w:ascii="David;David" w:hAnsi="David;David"/>
        <w:color w:val="000000"/>
        <w:sz w:val="22"/>
        <w:sz w:val="22"/>
        <w:szCs w:val="22"/>
        <w:rtl w:val="true"/>
      </w:rPr>
      <w:t xml:space="preserve">תפ </w:t>
    </w:r>
    <w:r>
      <w:rPr>
        <w:rFonts w:cs="David;David" w:ascii="David;David" w:hAnsi="David;David"/>
        <w:color w:val="000000"/>
        <w:sz w:val="22"/>
        <w:szCs w:val="22"/>
        <w:rtl w:val="true"/>
      </w:rPr>
      <w:t>(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י</w:t>
    </w:r>
    <w:r>
      <w:rPr>
        <w:rFonts w:cs="David;David" w:ascii="David;David" w:hAnsi="David;David"/>
        <w:color w:val="000000"/>
        <w:sz w:val="22"/>
        <w:szCs w:val="22"/>
        <w:rtl w:val="true"/>
      </w:rPr>
      <w:t>-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ם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) </w:t>
    </w:r>
    <w:r>
      <w:rPr>
        <w:rFonts w:cs="David;David" w:ascii="David;David" w:hAnsi="David;David"/>
        <w:color w:val="000000"/>
        <w:sz w:val="22"/>
        <w:szCs w:val="22"/>
      </w:rPr>
      <w:t>19384-05-16</w:t>
    </w:r>
    <w:r>
      <w:rPr>
        <w:rFonts w:cs="David;David" w:ascii="David;David" w:hAnsi="David;David"/>
        <w:color w:val="000000"/>
        <w:sz w:val="22"/>
        <w:szCs w:val="22"/>
        <w:rtl w:val="true"/>
      </w:rPr>
      <w:tab/>
      <w:t xml:space="preserve"> 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מדינת ישראל  נ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' </w:t>
    </w:r>
    <w:r>
      <w:rPr>
        <w:rFonts w:ascii="David;David" w:hAnsi="David;David"/>
        <w:color w:val="000000"/>
        <w:sz w:val="22"/>
        <w:sz w:val="22"/>
        <w:szCs w:val="22"/>
        <w:rtl w:val="true"/>
      </w:rPr>
      <w:t xml:space="preserve">חוסאם אשהב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85" w:hanging="360"/>
      </w:pPr>
      <w:rPr>
        <w:sz w:val="24"/>
        <w:b w:val="false"/>
        <w:szCs w:val="24"/>
        <w:bCs w:val="false"/>
        <w:rFonts w:cs="Times New Roman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1080"/>
        </w:tabs>
        <w:ind w:start="1080" w:hanging="720"/>
      </w:pPr>
      <w:rPr>
        <w:rFonts w:ascii="A028 Extrabold;Times New Roman" w:hAnsi="A028 Extrabold;Times New Roman" w:cs="David;David"/>
      </w:rPr>
    </w:lvl>
    <w:lvl w:ilvl="1">
      <w:start w:val="1"/>
      <w:numFmt w:val="hebrew1"/>
      <w:lvlText w:val="%2."/>
      <w:lvlJc w:val="center"/>
      <w:pPr>
        <w:tabs>
          <w:tab w:val="num" w:pos="1980"/>
        </w:tabs>
        <w:ind w:start="1980" w:hanging="360"/>
      </w:pPr>
      <w:rPr>
        <w:rFonts w:ascii="A028 Extrabold;Times New Roman" w:hAnsi="A028 Extrabold;Times New Roman" w:cs="David;David"/>
      </w:rPr>
    </w:lvl>
    <w:lvl w:ilvl="2">
      <w:start w:val="1"/>
      <w:numFmt w:val="decimal"/>
      <w:lvlText w:val="(%3)"/>
      <w:lvlJc w:val="start"/>
      <w:pPr>
        <w:tabs>
          <w:tab w:val="num" w:pos="2700"/>
        </w:tabs>
        <w:ind w:start="270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3240"/>
        </w:tabs>
        <w:ind w:start="324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960"/>
        </w:tabs>
        <w:ind w:start="396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680"/>
        </w:tabs>
        <w:ind w:start="468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400"/>
        </w:tabs>
        <w:ind w:start="540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6120"/>
        </w:tabs>
        <w:ind w:start="612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840"/>
        </w:tabs>
        <w:ind w:start="684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;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David;David"/>
      <w:b w:val="false"/>
      <w:bCs w:val="false"/>
      <w:sz w:val="24"/>
      <w:szCs w:val="24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David;David"/>
      <w:b w:val="false"/>
      <w:bCs w:val="false"/>
      <w:sz w:val="24"/>
      <w:szCs w:val="24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ascii="A028 Extrabold;Times New Roman" w:hAnsi="A028 Extrabold;Times New Roman" w:cs="David;David"/>
    </w:rPr>
  </w:style>
  <w:style w:type="character" w:styleId="WW8Num5z2">
    <w:name w:val="WW8Num5z2"/>
    <w:qFormat/>
    <w:rPr>
      <w:rFonts w:cs="Times New Roman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cs="Times New Roman"/>
      <w:b w:val="false"/>
      <w:bCs w:val="false"/>
      <w:sz w:val="24"/>
      <w:szCs w:val="24"/>
    </w:rPr>
  </w:style>
  <w:style w:type="character" w:styleId="WW8Num7z1">
    <w:name w:val="WW8Num7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;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;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3">
    <w:name w:val="פיסקת רשימה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333" TargetMode="External"/><Relationship Id="rId10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4903" TargetMode="External"/><Relationship Id="rId12" Type="http://schemas.openxmlformats.org/officeDocument/2006/relationships/hyperlink" Target="http://www.nevo.co.il/law/74903/94.a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33" TargetMode="External"/><Relationship Id="rId17" Type="http://schemas.openxmlformats.org/officeDocument/2006/relationships/hyperlink" Target="http://www.nevo.co.il/law/70301/25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.b2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4903/94.a" TargetMode="External"/><Relationship Id="rId24" Type="http://schemas.openxmlformats.org/officeDocument/2006/relationships/hyperlink" Target="http://www.nevo.co.il/law/74903" TargetMode="External"/><Relationship Id="rId25" Type="http://schemas.openxmlformats.org/officeDocument/2006/relationships/hyperlink" Target="http://www.nevo.co.il/law/74903" TargetMode="External"/><Relationship Id="rId26" Type="http://schemas.openxmlformats.org/officeDocument/2006/relationships/hyperlink" Target="http://www.nevo.co.il/case/13093721" TargetMode="External"/><Relationship Id="rId27" Type="http://schemas.openxmlformats.org/officeDocument/2006/relationships/hyperlink" Target="http://www.nevo.co.il/case/7680382" TargetMode="External"/><Relationship Id="rId28" Type="http://schemas.openxmlformats.org/officeDocument/2006/relationships/hyperlink" Target="http://www.nevo.co.il/case/13101134" TargetMode="External"/><Relationship Id="rId29" Type="http://schemas.openxmlformats.org/officeDocument/2006/relationships/hyperlink" Target="http://www.nevo.co.il/case/17009738" TargetMode="External"/><Relationship Id="rId30" Type="http://schemas.openxmlformats.org/officeDocument/2006/relationships/hyperlink" Target="http://www.nevo.co.il/case/17023776" TargetMode="External"/><Relationship Id="rId31" Type="http://schemas.openxmlformats.org/officeDocument/2006/relationships/hyperlink" Target="http://www.nevo.co.il/case/20033641" TargetMode="External"/><Relationship Id="rId32" Type="http://schemas.openxmlformats.org/officeDocument/2006/relationships/hyperlink" Target="http://www.nevo.co.il/law/70301/40b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5699080" TargetMode="External"/><Relationship Id="rId35" Type="http://schemas.openxmlformats.org/officeDocument/2006/relationships/hyperlink" Target="http://www.nevo.co.il/case/13023134" TargetMode="External"/><Relationship Id="rId36" Type="http://schemas.openxmlformats.org/officeDocument/2006/relationships/hyperlink" Target="http://www.nevo.co.il/case/8471804" TargetMode="External"/><Relationship Id="rId37" Type="http://schemas.openxmlformats.org/officeDocument/2006/relationships/hyperlink" Target="http://www.nevo.co.il/case/20775010" TargetMode="External"/><Relationship Id="rId38" Type="http://schemas.openxmlformats.org/officeDocument/2006/relationships/hyperlink" Target="http://www.nevo.co.il/case/8291683" TargetMode="External"/><Relationship Id="rId39" Type="http://schemas.openxmlformats.org/officeDocument/2006/relationships/hyperlink" Target="http://www.nevo.co.il/case/5878682" TargetMode="External"/><Relationship Id="rId40" Type="http://schemas.openxmlformats.org/officeDocument/2006/relationships/hyperlink" Target="http://www.nevo.co.il/case/5578534" TargetMode="External"/><Relationship Id="rId41" Type="http://schemas.openxmlformats.org/officeDocument/2006/relationships/hyperlink" Target="http://www.nevo.co.il/case/5601503" TargetMode="External"/><Relationship Id="rId42" Type="http://schemas.openxmlformats.org/officeDocument/2006/relationships/hyperlink" Target="http://www.nevo.co.il/case/6473037" TargetMode="External"/><Relationship Id="rId43" Type="http://schemas.openxmlformats.org/officeDocument/2006/relationships/hyperlink" Target="http://www.nevo.co.il/case/7791493" TargetMode="External"/><Relationship Id="rId44" Type="http://schemas.openxmlformats.org/officeDocument/2006/relationships/hyperlink" Target="http://www.nevo.co.il/case/5821327" TargetMode="External"/><Relationship Id="rId45" Type="http://schemas.openxmlformats.org/officeDocument/2006/relationships/hyperlink" Target="http://www.nevo.co.il/case/21472788" TargetMode="External"/><Relationship Id="rId46" Type="http://schemas.openxmlformats.org/officeDocument/2006/relationships/hyperlink" Target="http://www.nevo.co.il/case/22006503" TargetMode="External"/><Relationship Id="rId47" Type="http://schemas.openxmlformats.org/officeDocument/2006/relationships/hyperlink" Target="http://www.nevo.co.il/law/70301/144.a" TargetMode="External"/><Relationship Id="rId48" Type="http://schemas.openxmlformats.org/officeDocument/2006/relationships/hyperlink" Target="http://www.nevo.co.il/law/70301/144.b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case/21472788" TargetMode="External"/><Relationship Id="rId51" Type="http://schemas.openxmlformats.org/officeDocument/2006/relationships/hyperlink" Target="http://www.nevo.co.il/law/70301/144.b2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case/18653720" TargetMode="External"/><Relationship Id="rId54" Type="http://schemas.openxmlformats.org/officeDocument/2006/relationships/hyperlink" Target="http://www.nevo.co.il/case/13090914" TargetMode="External"/><Relationship Id="rId55" Type="http://schemas.openxmlformats.org/officeDocument/2006/relationships/hyperlink" Target="http://www.nevo.co.il/law/70301/144.b2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144.b2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case/13023134" TargetMode="External"/><Relationship Id="rId60" Type="http://schemas.openxmlformats.org/officeDocument/2006/relationships/hyperlink" Target="http://www.nevo.co.il/case/8471804" TargetMode="External"/><Relationship Id="rId61" Type="http://schemas.openxmlformats.org/officeDocument/2006/relationships/hyperlink" Target="http://www.nevo.co.il/case/6842737" TargetMode="External"/><Relationship Id="rId62" Type="http://schemas.openxmlformats.org/officeDocument/2006/relationships/hyperlink" Target="http://www.nevo.co.il/case/11309005" TargetMode="External"/><Relationship Id="rId63" Type="http://schemas.openxmlformats.org/officeDocument/2006/relationships/hyperlink" Target="http://www.nevo.co.il/case/6882160" TargetMode="External"/><Relationship Id="rId64" Type="http://schemas.openxmlformats.org/officeDocument/2006/relationships/hyperlink" Target="http://www.nevo.co.il/case/7791489" TargetMode="External"/><Relationship Id="rId65" Type="http://schemas.openxmlformats.org/officeDocument/2006/relationships/hyperlink" Target="http://www.nevo.co.il/case/11269745" TargetMode="External"/><Relationship Id="rId66" Type="http://schemas.openxmlformats.org/officeDocument/2006/relationships/hyperlink" Target="http://www.nevo.co.il/case/7779334" TargetMode="External"/><Relationship Id="rId67" Type="http://schemas.openxmlformats.org/officeDocument/2006/relationships/hyperlink" Target="http://www.nevo.co.il/case/20296345" TargetMode="External"/><Relationship Id="rId68" Type="http://schemas.openxmlformats.org/officeDocument/2006/relationships/hyperlink" Target="http://www.nevo.co.il/case/20240520" TargetMode="External"/><Relationship Id="rId69" Type="http://schemas.openxmlformats.org/officeDocument/2006/relationships/hyperlink" Target="http://www.nevo.co.il/law/70301/40i" TargetMode="External"/><Relationship Id="rId70" Type="http://schemas.openxmlformats.org/officeDocument/2006/relationships/hyperlink" Target="http://www.nevo.co.il/case/21055966" TargetMode="External"/><Relationship Id="rId71" Type="http://schemas.openxmlformats.org/officeDocument/2006/relationships/hyperlink" Target="http://www.nevo.co.il/law/70301/40ja" TargetMode="External"/><Relationship Id="rId72" Type="http://schemas.openxmlformats.org/officeDocument/2006/relationships/hyperlink" Target="http://www.nevo.co.il/case/17954222" TargetMode="External"/><Relationship Id="rId73" Type="http://schemas.openxmlformats.org/officeDocument/2006/relationships/hyperlink" Target="http://www.nevo.co.il/advertisements/nevo-100.doc" TargetMode="External"/><Relationship Id="rId74" Type="http://schemas.openxmlformats.org/officeDocument/2006/relationships/header" Target="header1.xml"/><Relationship Id="rId75" Type="http://schemas.openxmlformats.org/officeDocument/2006/relationships/footer" Target="footer1.xml"/><Relationship Id="rId76" Type="http://schemas.openxmlformats.org/officeDocument/2006/relationships/numbering" Target="numbering.xml"/><Relationship Id="rId77" Type="http://schemas.openxmlformats.org/officeDocument/2006/relationships/fontTable" Target="fontTable.xml"/><Relationship Id="rId78" Type="http://schemas.openxmlformats.org/officeDocument/2006/relationships/settings" Target="settings.xml"/><Relationship Id="rId7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2018-05-08T12:47:00Z</dcterms:created>
  <dc:creator> </dc:creator>
  <dc:description/>
  <cp:keywords/>
  <dc:language>en-IL</dc:language>
  <cp:lastModifiedBy>run</cp:lastModifiedBy>
  <dcterms:modified xsi:type="dcterms:W3CDTF">2018-05-08T12:47:00Z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חוסאם אשהב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13093721;7680382;13101134;17009738;17023776;20033641;5699080;13023134:2;8471804:2;20775010;8291683;5878682;5578534;5601503;6473037;7791493;5821327;21472788:2;22006503;18653720;13090914;6842737;11309005;6882160;7791489;11269745;7779334;20296345;20240520</vt:lpwstr>
  </property>
  <property fmtid="{D5CDD505-2E9C-101B-9397-08002B2CF9AE}" pid="9" name="CASESLISTTMP2">
    <vt:lpwstr>21055966;17954222</vt:lpwstr>
  </property>
  <property fmtid="{D5CDD505-2E9C-101B-9397-08002B2CF9AE}" pid="10" name="CITY">
    <vt:lpwstr>י-ם</vt:lpwstr>
  </property>
  <property fmtid="{D5CDD505-2E9C-101B-9397-08002B2CF9AE}" pid="11" name="DATE">
    <vt:lpwstr>20170720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חנה מרים לומפ</vt:lpwstr>
  </property>
  <property fmtid="{D5CDD505-2E9C-101B-9397-08002B2CF9AE}" pid="15" name="LAWLISTTMP1">
    <vt:lpwstr>70301/144.b:2;333;025;144.a:2;144.b2:4;040b;040i;40ja</vt:lpwstr>
  </property>
  <property fmtid="{D5CDD505-2E9C-101B-9397-08002B2CF9AE}" pid="16" name="LAWLISTTMP2">
    <vt:lpwstr>74903/094.a</vt:lpwstr>
  </property>
  <property fmtid="{D5CDD505-2E9C-101B-9397-08002B2CF9AE}" pid="17" name="LAWYER">
    <vt:lpwstr>אביטל ריבנר;סוועאד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19384</vt:lpwstr>
  </property>
  <property fmtid="{D5CDD505-2E9C-101B-9397-08002B2CF9AE}" pid="24" name="NEWPARTB">
    <vt:lpwstr>05</vt:lpwstr>
  </property>
  <property fmtid="{D5CDD505-2E9C-101B-9397-08002B2CF9AE}" pid="25" name="NEWPARTC">
    <vt:lpwstr>16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390020170720</vt:lpwstr>
  </property>
  <property fmtid="{D5CDD505-2E9C-101B-9397-08002B2CF9AE}" pid="36" name="TYPE_N_DATE">
    <vt:lpwstr>39020170720</vt:lpwstr>
  </property>
  <property fmtid="{D5CDD505-2E9C-101B-9397-08002B2CF9AE}" pid="37" name="VOLUME">
    <vt:lpwstr/>
  </property>
  <property fmtid="{D5CDD505-2E9C-101B-9397-08002B2CF9AE}" pid="38" name="WORDNUMPAGES">
    <vt:lpwstr>15</vt:lpwstr>
  </property>
</Properties>
</file>