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19410-07-20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קרינאוי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44662-01-20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רחובות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מנחם מזרחי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סלים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קרינאוי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שוקרי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טביק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כתבי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 xml:space="preserve">הנאשם הורשע בעקבות הודאתו </w:t>
      </w:r>
      <w:r>
        <w:rPr>
          <w:rFonts w:ascii="David" w:hAnsi="David"/>
          <w:b/>
          <w:b/>
          <w:bCs/>
          <w:rtl w:val="true"/>
        </w:rPr>
        <w:t>בשני כתב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אישום</w:t>
      </w:r>
      <w:r>
        <w:rPr>
          <w:rFonts w:ascii="David" w:hAnsi="David"/>
          <w:rtl w:val="true"/>
        </w:rPr>
        <w:t xml:space="preserve">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בכתב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19410-07-20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 רמלה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10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16.6.20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החזיק על גג מחסן סמוך לביתו בלוד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חפץ דמוי תת מקלע מאולתר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שבכוחו להמית ולצדו מחסנית תואמת ריקה מכדורים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בכתב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44552-01-20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 רחובות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</w:t>
      </w:r>
      <w:r>
        <w:rPr>
          <w:rFonts w:ascii="David" w:hAnsi="David"/>
          <w:b/>
          <w:b/>
          <w:bCs/>
          <w:rtl w:val="true"/>
        </w:rPr>
        <w:t>סיוע להחזקת סם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2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יחד עם סעיפים </w:t>
      </w:r>
      <w:hyperlink r:id="rId14"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15"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והפרעה לשוטר במילוי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תפקידו</w:t>
      </w:r>
      <w:r>
        <w:rPr>
          <w:rFonts w:ascii="David" w:hAnsi="David"/>
          <w:rtl w:val="true"/>
        </w:rPr>
        <w:t xml:space="preserve"> לפי </w:t>
      </w:r>
      <w:hyperlink r:id="rId1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12.1.20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המתוארות בעובדות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הנאשם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עמו היו הנאשמים הנותרים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הוא התבקש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שוטרים לעצור את 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לא נענה להוראתם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ניפץ שוטר את חלון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הדלת ודומם את המנוע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באותן נסיבות הושלכו מן הרכב בידי נאשם אחר סם מסוכן מסוג </w:t>
      </w:r>
      <w:r>
        <w:rPr>
          <w:rFonts w:ascii="David" w:hAnsi="David"/>
          <w:b/>
          <w:b/>
          <w:bCs/>
          <w:rtl w:val="true"/>
        </w:rPr>
        <w:t xml:space="preserve">הרואין במשקל </w:t>
      </w:r>
      <w:r>
        <w:rPr>
          <w:rFonts w:cs="David" w:ascii="David" w:hAnsi="David"/>
          <w:b/>
          <w:bCs/>
        </w:rPr>
        <w:t>4.4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גרם נטו</w:t>
      </w:r>
      <w:r>
        <w:rPr>
          <w:rFonts w:ascii="David" w:hAnsi="David"/>
          <w:rtl w:val="true"/>
        </w:rPr>
        <w:t xml:space="preserve"> מחולק לשש 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נתפס ברכב סם מסוכן מסוג </w:t>
      </w:r>
      <w:r>
        <w:rPr>
          <w:rFonts w:ascii="David" w:hAnsi="David"/>
          <w:b/>
          <w:b/>
          <w:bCs/>
          <w:rtl w:val="true"/>
        </w:rPr>
        <w:t xml:space="preserve">הרואין  במשקל </w:t>
      </w:r>
      <w:r>
        <w:rPr>
          <w:rFonts w:cs="David" w:ascii="David" w:hAnsi="David"/>
          <w:b/>
          <w:bCs/>
        </w:rPr>
        <w:t>2.6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גרם נטו </w:t>
      </w:r>
      <w:r>
        <w:rPr>
          <w:rFonts w:ascii="David" w:hAnsi="David"/>
          <w:rtl w:val="true"/>
        </w:rPr>
        <w:t xml:space="preserve">מחולק 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מנות וסם מסוכן </w:t>
      </w:r>
      <w:r>
        <w:rPr>
          <w:rFonts w:ascii="David" w:hAnsi="David"/>
          <w:b/>
          <w:b/>
          <w:bCs/>
          <w:rtl w:val="true"/>
        </w:rPr>
        <w:t xml:space="preserve">מסוג קוקאין במשקל </w:t>
      </w:r>
      <w:r>
        <w:rPr>
          <w:rFonts w:cs="David" w:ascii="David" w:hAnsi="David"/>
          <w:b/>
          <w:bCs/>
        </w:rPr>
        <w:t>2.4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גרם נטו</w:t>
      </w:r>
      <w:r>
        <w:rPr>
          <w:rFonts w:ascii="David" w:hAnsi="David"/>
          <w:rtl w:val="true"/>
        </w:rPr>
        <w:t xml:space="preserve"> מחולק 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השייכים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הואשם בכך </w:t>
      </w:r>
      <w:r>
        <w:rPr>
          <w:rFonts w:ascii="David" w:hAnsi="David"/>
          <w:b/>
          <w:b/>
          <w:bCs/>
          <w:rtl w:val="true"/>
        </w:rPr>
        <w:t xml:space="preserve">שסייע לנאשם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להחזיק את הסמים הללו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</w:t>
      </w:r>
      <w:r>
        <w:rPr>
          <w:rFonts w:ascii="David" w:hAnsi="David"/>
          <w:b/>
          <w:b/>
          <w:bCs/>
          <w:rtl w:val="true"/>
        </w:rPr>
        <w:t>שידע כי הסמים מצויים ברכב והסיע את הנאשמים הנותרים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מתחמי ענישה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א</w:t>
      </w:r>
      <w:r>
        <w:rPr>
          <w:rFonts w:cs="David" w:ascii="David" w:hAnsi="David"/>
          <w:b/>
          <w:bCs/>
          <w:u w:val="single"/>
          <w:rtl w:val="true"/>
        </w:rPr>
        <w:t xml:space="preserve">). </w:t>
      </w:r>
      <w:r>
        <w:rPr>
          <w:rFonts w:ascii="David" w:hAnsi="David"/>
          <w:b/>
          <w:b/>
          <w:bCs/>
          <w:u w:val="single"/>
          <w:rtl w:val="true"/>
        </w:rPr>
        <w:t>אמל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ח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התכלית העומדת אחר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שאותה ביצע הנאשם היא מניעת הפגיעה הפוטנציאלית הקיימת לשלום הציבור מהחזקת אמצעי לחימה שבכוחו להמית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בהתאם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 ש</w:t>
      </w:r>
      <w:r>
        <w:rPr>
          <w:rFonts w:ascii="Arial" w:hAnsi="Arial" w:cs="Arial"/>
          <w:rtl w:val="true"/>
        </w:rPr>
        <w:t>מתחם הענישה ביחס לאירוע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מדובר </w:t>
      </w:r>
      <w:r>
        <w:rPr>
          <w:rFonts w:ascii="Arial" w:hAnsi="Arial" w:cs="Arial"/>
          <w:rtl w:val="true"/>
        </w:rPr>
        <w:t>החזקת תת מקלע מאולתר בודד יחד עם מחסנית 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נע בין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עד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אפנה אל פסקי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 xml:space="preserve">הדין הבאים הנוגעים למתחמי ענישה בעבירת החזקת </w:t>
      </w:r>
      <w:r>
        <w:rPr>
          <w:rFonts w:ascii="Arial" w:hAnsi="Arial" w:cs="Arial"/>
          <w:b/>
          <w:b/>
          <w:bCs/>
          <w:rtl w:val="true"/>
        </w:rPr>
        <w:t>אמל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יש לקרוא כל פסק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דין בשינויים המחויבים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6306/17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חטיב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28.3.18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הנאשם הורשע בעקבות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שהחזיק בביתו את </w:t>
      </w:r>
      <w:r>
        <w:rPr>
          <w:rFonts w:ascii="David" w:hAnsi="David"/>
          <w:b/>
          <w:b/>
          <w:bCs/>
          <w:rtl w:val="true"/>
        </w:rPr>
        <w:t xml:space="preserve">ארבעת </w:t>
      </w:r>
      <w:r>
        <w:rPr>
          <w:rFonts w:ascii="David" w:hAnsi="David"/>
          <w:rtl w:val="true"/>
        </w:rPr>
        <w:t>כלי הנשק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חפץ דמוי תת מקלע מאולתר</w:t>
      </w:r>
      <w:r>
        <w:rPr>
          <w:rFonts w:ascii="David" w:hAnsi="David"/>
          <w:rtl w:val="true"/>
        </w:rPr>
        <w:t xml:space="preserve"> ומחסנית המתאימה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 מקלע מסוג עוזי</w:t>
      </w:r>
      <w:r>
        <w:rPr>
          <w:rFonts w:ascii="David" w:hAnsi="David"/>
          <w:rtl w:val="true"/>
        </w:rPr>
        <w:t xml:space="preserve"> ומחסנית המתאימה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ושני אקדחים</w:t>
      </w:r>
      <w:r>
        <w:rPr>
          <w:rFonts w:ascii="David" w:hAnsi="David"/>
          <w:rtl w:val="true"/>
        </w:rPr>
        <w:t xml:space="preserve"> שלאחד מהם מחסנית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b/>
          <w:b/>
          <w:bCs/>
          <w:rtl w:val="true"/>
        </w:rPr>
        <w:t>נעדר עבר 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תחילה הוגש תסקיר שלא כלל המלצה שיקומית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 הוזמנו תסקירים משלימים חיוביים אשר כללו המלצה לבכר בענישה שיקומית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1826/19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אבו עסא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18.3.19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הנאשם הורשע בעקבות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בכך שהחזיק בנשק מאולתר אוטומטי והעבירו לאדם אחר אשר יחזיק בו באופן זמני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נתפס בידי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2265/18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עמאר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29.3.18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 xml:space="preserve">הנאשם הורשע בעקבות הודאתו בכך שהחזיק </w:t>
      </w:r>
      <w:r>
        <w:rPr>
          <w:rFonts w:ascii="David" w:hAnsi="David"/>
          <w:b/>
          <w:b/>
          <w:bCs/>
          <w:rtl w:val="true"/>
        </w:rPr>
        <w:t>שני תתי מקלע מאולתרים עם מחסנית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אחד מהם הוסתר בתא מטען ברכב יחד עם מחסנית ריקה והשני בתיק עם שתי מחסניות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תסקיר הנושא המלצה שיקומית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פואד אבו דאחל נ</w:t>
      </w:r>
      <w:r>
        <w:rPr>
          <w:rFonts w:ascii="David" w:hAnsi="David"/>
          <w:b/>
          <w:b/>
          <w:bCs/>
          <w:rtl w:val="true"/>
        </w:rPr>
        <w:t>גד</w:t>
      </w:r>
      <w:r>
        <w:rPr>
          <w:rFonts w:ascii="David" w:hAnsi="David"/>
          <w:b/>
          <w:b/>
          <w:bCs/>
          <w:rtl w:val="true"/>
        </w:rPr>
        <w:t xml:space="preserve">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29.3.04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 בכתב אישום בעבירה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נמצא בדירתו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נשק גנוב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השלום גזר על </w:t>
      </w: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ערער על 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וחומרת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למחוזי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כן הערעור לעליון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זאקי אלהוזייל נגד מדינת ישראל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25.8.20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הורשע בעקבות הודאתו בכך שהחזיק במקום מגוריו </w:t>
      </w:r>
      <w:r>
        <w:rPr>
          <w:rFonts w:ascii="David" w:hAnsi="David"/>
          <w:b/>
          <w:b/>
          <w:bCs/>
          <w:rtl w:val="true"/>
        </w:rPr>
        <w:t xml:space="preserve">אקדח </w:t>
      </w:r>
      <w:r>
        <w:rPr>
          <w:rFonts w:cs="David" w:ascii="David" w:hAnsi="David"/>
          <w:b/>
          <w:bCs/>
        </w:rPr>
        <w:t>FN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ועשרים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בעל עבר פלילי  הכולל עבירה במתן אמצעים לביצוע פשע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 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גרימת מוות ברשלנות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תסקיר שהכיל אלמנטים </w:t>
      </w:r>
      <w:r>
        <w:rPr>
          <w:rFonts w:ascii="David" w:hAnsi="David"/>
          <w:b/>
          <w:b/>
          <w:bCs/>
          <w:rtl w:val="true"/>
        </w:rPr>
        <w:t>בלתי חיוביים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ל –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700/18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רואי גרבי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2.5.18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בכך </w:t>
      </w:r>
      <w:r>
        <w:rPr>
          <w:rFonts w:ascii="Arial" w:hAnsi="Arial" w:cs="Arial"/>
          <w:b/>
          <w:b/>
          <w:bCs/>
          <w:rtl w:val="true"/>
        </w:rPr>
        <w:t>ש</w:t>
      </w:r>
      <w:r>
        <w:rPr>
          <w:rFonts w:ascii="Arial" w:hAnsi="Arial" w:cs="Arial"/>
          <w:b/>
          <w:b/>
          <w:bCs/>
          <w:rtl w:val="true"/>
        </w:rPr>
        <w:t>סייע בהחזקת ונשיאת נשק מסוג קרל גוסטב</w:t>
      </w:r>
      <w:r>
        <w:rPr>
          <w:rFonts w:ascii="Arial" w:hAnsi="Arial" w:cs="Arial"/>
          <w:rtl w:val="true"/>
        </w:rPr>
        <w:t xml:space="preserve"> – אחר נשא את הנשק בידיעתו והסכמתו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שהנאשם מתצפת על מקום הנשק לצורך מכירתו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נדון ל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2541/17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שאהר זיד נגד מדינת ישראל </w:t>
      </w:r>
      <w:r>
        <w:rPr>
          <w:rFonts w:cs="Arial" w:ascii="Arial" w:hAnsi="Arial"/>
          <w:rtl w:val="true"/>
        </w:rPr>
        <w:t xml:space="preserve">( </w:t>
      </w:r>
      <w:r>
        <w:rPr>
          <w:rFonts w:cs="Arial" w:ascii="Arial" w:hAnsi="Arial"/>
        </w:rPr>
        <w:t>3.5.18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שוהה בלתי חוקי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בעל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יחד עם שניים אחרים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ישב במושב האחורי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</w:t>
      </w:r>
      <w:r>
        <w:rPr>
          <w:rFonts w:ascii="Arial" w:hAnsi="Arial" w:cs="Arial"/>
          <w:rtl w:val="true"/>
        </w:rPr>
        <w:t>חרי</w:t>
      </w:r>
      <w:r>
        <w:rPr>
          <w:rFonts w:ascii="Arial" w:hAnsi="Arial" w:cs="Arial"/>
          <w:rtl w:val="true"/>
        </w:rPr>
        <w:t>ם החזיקו אקדח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מעצרם ניסה אחד הנאשמים להסתיר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נדון ל  </w:t>
      </w:r>
      <w:r>
        <w:rPr>
          <w:rFonts w:ascii="Arial" w:hAnsi="Arial" w:cs="Arial"/>
          <w:b/>
          <w:b/>
          <w:bCs/>
          <w:rtl w:val="true"/>
        </w:rPr>
        <w:t xml:space="preserve">– 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של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 </w:t>
        </w:r>
        <w:r>
          <w:rPr>
            <w:rStyle w:val="Hyperlink"/>
            <w:rFonts w:cs="Arial" w:ascii="Arial" w:hAnsi="Arial"/>
            <w:color w:val="0000FF"/>
            <w:u w:val="single"/>
          </w:rPr>
          <w:t>15929-09-20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העמית אברהם טל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אבו צעלוק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6.12.20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הנאשם הורשע בעקבות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שהחזיק אקדח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גלוק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גנוב ומחסנית מלאה 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נתון במעצר כחודשיים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מכן נתון במעצר באיזוק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תסקירים הממליצים על ענישה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 xml:space="preserve">נדון ל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נכותה תקופת מעצרו</w:t>
      </w:r>
      <w:r>
        <w:rPr>
          <w:rFonts w:cs="Arial" w:ascii="Arial" w:hAnsi="Arial"/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14363-08-18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הרכב בראשית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ורדה מרוז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סגנית הנשיאה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ע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אנם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9.10.18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למי שהחזיק בביתו אקדח גנוב טעון במחסנית ובה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השאר שיבש את מהלכי החקירה והוראה להשליך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בית המשפט המחוזי הנכבד קבע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מתחם הענישה לעבירה של החזקת נשק שלא כחוק </w:t>
      </w:r>
      <w:r>
        <w:rPr>
          <w:rFonts w:ascii="Arial" w:hAnsi="Arial" w:cs="Arial"/>
          <w:b/>
          <w:b/>
          <w:bCs/>
          <w:u w:val="single"/>
          <w:rtl w:val="true"/>
        </w:rPr>
        <w:t>בעודו טעון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כאשר ברקע ידוע כי מדובר </w:t>
      </w:r>
      <w:r>
        <w:rPr>
          <w:rFonts w:ascii="Arial" w:hAnsi="Arial" w:cs="Arial"/>
          <w:b/>
          <w:b/>
          <w:bCs/>
          <w:u w:val="single"/>
          <w:rtl w:val="true"/>
        </w:rPr>
        <w:t>בנשק גנוב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הוא בין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>..."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במקום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24956-04-19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השופט שמואל בורנשטיין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סילמי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2.7.19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החזקת  </w:t>
      </w:r>
      <w:r>
        <w:rPr>
          <w:rFonts w:ascii="Arial" w:hAnsi="Arial" w:cs="Arial"/>
          <w:b/>
          <w:b/>
          <w:bCs/>
          <w:rtl w:val="true"/>
        </w:rPr>
        <w:t>שלושה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תסקיר חיובי נדון </w:t>
      </w:r>
      <w:r>
        <w:rPr>
          <w:rFonts w:ascii="Arial" w:hAnsi="Arial" w:cs="Arial"/>
          <w:b/>
          <w:b/>
          <w:bCs/>
          <w:rtl w:val="true"/>
        </w:rPr>
        <w:t xml:space="preserve">ל –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20562-08-18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ורדה מרוז – סגנית הנשיאה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בהא לבן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20.11.18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בעבודות שירות למי אשר החזיק בביתו אקדח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מחסנית </w:t>
      </w:r>
      <w:r>
        <w:rPr>
          <w:rFonts w:cs="Arial" w:ascii="Arial" w:hAnsi="Arial"/>
          <w:b/>
          <w:bCs/>
        </w:rPr>
        <w:t>32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כדורים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נעדר עבר פלילי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נתון חודש במעצר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 משפט השלום נקבע מתחם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המחוזי לא קבע קביעה שונה ביחס למתחם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הגם שהחמיר בענישה בדרך של הטלת 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23661-07-18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דנה מרשק מרום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מרשה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25.11.18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נקבע מתחם המתחיל מ 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והעמיד את עונשו של מי שהחזיק אקדח </w:t>
      </w:r>
      <w:r>
        <w:rPr>
          <w:rFonts w:ascii="Arial" w:hAnsi="Arial" w:cs="Arial"/>
          <w:b/>
          <w:b/>
          <w:bCs/>
          <w:rtl w:val="true"/>
        </w:rPr>
        <w:t>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מחזנית וכדורים מוסלקים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עצור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</w:t>
      </w:r>
      <w:r>
        <w:rPr>
          <w:rFonts w:ascii="Arial" w:hAnsi="Arial" w:cs="Arial"/>
          <w:b/>
          <w:b/>
          <w:bCs/>
          <w:rtl w:val="true"/>
        </w:rPr>
        <w:t>שמונה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חלף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תקופת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52059-04-19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לוד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סחאב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10.9.19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נדחה ערעורו של המערער שהורשע בהחזקת נשק ללא רשות </w:t>
      </w:r>
      <w:r>
        <w:rPr>
          <w:rFonts w:ascii="Arial" w:hAnsi="Arial" w:cs="Arial"/>
          <w:b/>
          <w:b/>
          <w:bCs/>
          <w:rtl w:val="true"/>
        </w:rPr>
        <w:t>והחזקת סם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האקדח הוסתר בתוך גרב יחד עם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רובה ציד ושתי קופסאות המכילות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וקופסת כדורים ובה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וקנביס במשקל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מקרה </w:t>
      </w:r>
      <w:r>
        <w:rPr>
          <w:rFonts w:ascii="Arial" w:hAnsi="Arial" w:cs="Arial"/>
          <w:rtl w:val="true"/>
        </w:rPr>
        <w:t xml:space="preserve">נקבע </w:t>
      </w:r>
      <w:r>
        <w:rPr>
          <w:rFonts w:ascii="Arial" w:hAnsi="Arial" w:cs="Arial"/>
          <w:rtl w:val="true"/>
        </w:rPr>
        <w:t xml:space="preserve"> מתחם ענישה הנע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נגזרו</w:t>
      </w:r>
      <w:r>
        <w:rPr>
          <w:rFonts w:ascii="Arial" w:hAnsi="Arial" w:cs="Arial"/>
          <w:rtl w:val="true"/>
        </w:rPr>
        <w:t xml:space="preserve"> על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ascii="Arial" w:hAnsi="Arial" w:cs="Arial"/>
          <w:b/>
          <w:b/>
          <w:bCs/>
          <w:rtl w:val="true"/>
        </w:rPr>
        <w:t xml:space="preserve">  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שהה בתנאים מגבילים שונים והיה עצור כחודש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תסקירי שירות המבחן הציגו תמונה חיובית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ללמוד מן הפסיקה המנחה והמחייבת דלעיל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הענישה הרווחת ביחס לעבריינים המחזיקים אמצעי לחימה היא מאסר בפועל ממש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כדי להרתיע את היחיד ואת הרבים מפני עבריינות שכזו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ב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סיוע להחזקת הסמים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התכלית העומדת אחר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שאותה 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שהיא מניעת הפגיעה הבריאותית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הכלכלית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הנובעת מן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העובדה כי הנאשם הינו מסייע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קובע כי מתחם הענישה הינו </w:t>
      </w:r>
      <w:r>
        <w:rPr>
          <w:rFonts w:ascii="Arial" w:hAnsi="Arial" w:cs="Arial"/>
          <w:b/>
          <w:b/>
          <w:bCs/>
          <w:rtl w:val="true"/>
        </w:rPr>
        <w:t>בין מספר חודשי מאסר בפועל ועד שנת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אמנם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הנאשם הורשע בעבירה של סיוע </w:t>
      </w:r>
      <w:r>
        <w:rPr>
          <w:rFonts w:ascii="Arial" w:hAnsi="Arial" w:cs="Arial"/>
          <w:b/>
          <w:b/>
          <w:bCs/>
          <w:rtl w:val="true"/>
        </w:rPr>
        <w:t xml:space="preserve">להחזקת הסמים </w:t>
      </w:r>
      <w:r>
        <w:rPr>
          <w:rFonts w:ascii="Arial" w:hAnsi="Arial" w:cs="Arial"/>
          <w:b/>
          <w:b/>
          <w:bCs/>
          <w:rtl w:val="true"/>
        </w:rPr>
        <w:t>של הנאשמים הנותרים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וכידוע עונשו המרבי של המסייע הינו מחצית מעונשו של המבצע העיקרים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אולם אין לומר כי גם בקביעת המתחם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לחצות את המתחם שנקבע ביחס לעבריין העיקרי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עמד על כך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העליון 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8598/14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אלמליח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1.3.15</w:t>
      </w:r>
      <w:r>
        <w:rPr>
          <w:rFonts w:cs="Arial" w:ascii="Arial" w:hAnsi="Arial"/>
          <w:rtl w:val="true"/>
        </w:rPr>
        <w:t>): "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בגין מעשה הסיוע יעמוד על מחצית העונש המרבי שנקבע בגין העבירה המשולמת</w:t>
      </w:r>
      <w:r>
        <w:rPr>
          <w:rFonts w:cs="Arial" w:ascii="Arial" w:hAnsi="Arial"/>
          <w:rtl w:val="true"/>
        </w:rPr>
        <w:t>...</w:t>
      </w:r>
      <w:r>
        <w:rPr>
          <w:rFonts w:ascii="Arial" w:hAnsi="Arial" w:cs="Arial"/>
          <w:rtl w:val="true"/>
        </w:rPr>
        <w:t>מעיקרון זה נובע שככלל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עונשו של המסייע יהיה קל יותר מעונשו של המבצע העיקרי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חומרתו הפחותה והעקיפה של מעשה הסיוע</w:t>
      </w:r>
      <w:r>
        <w:rPr>
          <w:rFonts w:cs="Arial" w:ascii="Arial" w:hAnsi="Arial"/>
          <w:rtl w:val="true"/>
        </w:rPr>
        <w:t>...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מכאן אין להסיק כי גזירת עונשו של המסייע תיעשה באופן מכאני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שהעונש יועמד תמיד על מחצית מעונשו של המבצע העיקרי</w:t>
      </w:r>
      <w:r>
        <w:rPr>
          <w:rFonts w:cs="Arial" w:ascii="Arial" w:hAnsi="Arial"/>
          <w:rtl w:val="true"/>
        </w:rPr>
        <w:t>...</w:t>
      </w:r>
      <w:r>
        <w:rPr>
          <w:rFonts w:ascii="Arial" w:hAnsi="Arial" w:cs="Arial"/>
          <w:rtl w:val="true"/>
        </w:rPr>
        <w:t>בעת קביעת מתחם העונש ההולם למעשיו של המסייע</w:t>
      </w:r>
      <w:r>
        <w:rPr>
          <w:rFonts w:cs="Arial" w:ascii="Arial" w:hAnsi="Arial"/>
          <w:rtl w:val="true"/>
        </w:rPr>
        <w:t>...</w:t>
      </w:r>
      <w:r>
        <w:rPr>
          <w:rFonts w:ascii="Arial" w:hAnsi="Arial" w:cs="Arial"/>
          <w:rtl w:val="true"/>
        </w:rPr>
        <w:t>יש להביא בחשבון גם את השאלה אם מדובר בסיוע במעשה או במחדל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אם הסיוע קדם לביצוע העבירה העיקרית או שהוא ניתן במהלך ביצועה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מידת תרומתו של הסיוע לביצוע העבירה העיקרית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תרומת הסיוע לנזק שהיה צפוי להיגרם ושנגרם בפועל</w:t>
      </w:r>
      <w:r>
        <w:rPr>
          <w:rFonts w:cs="Arial" w:ascii="Arial" w:hAnsi="Arial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אפנה בעניין זה אל פסקי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הדין הבאים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שאותם יש לקרוא בשינויים המחויבים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שאמנם דנים בעבירות של החזקת סם מסוג אחר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ניתן לקבל מהם ממד עונשי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22.1.15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8374/06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12.12.06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870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13.1.19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רכיבי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11.4.16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2,300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b/>
          <w:bCs/>
          <w:rtl w:val="true"/>
        </w:rPr>
        <w:t xml:space="preserve">, 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10423/09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26.4.10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קנבוס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574.75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63158-10-18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אלסנע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16.4.19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470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, 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53504-01-11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אלון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22.5.11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8220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כספורטאי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ודו</w:t>
      </w:r>
      <w:r>
        <w:rPr>
          <w:rtl w:val="true"/>
        </w:rPr>
        <w:t xml:space="preserve">,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56606-12-19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זערור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3.3.20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24043-04-17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4.6.17</w:t>
      </w:r>
      <w:r>
        <w:rPr>
          <w:rtl w:val="true"/>
        </w:rPr>
        <w:t>):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קנבוס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922.40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41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41634-10-14</w:t>
        </w:r>
      </w:hyperlink>
      <w:r>
        <w:rPr>
          <w:rtl w:val="true"/>
        </w:rPr>
        <w:t xml:space="preserve">, </w:t>
      </w:r>
      <w:r>
        <w:rPr/>
        <w:t>42384-10-14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18.3.15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קנבוס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ג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הפרעה לשוטר במילוי תפקידו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מתחם הענישה ביחס לעבירה זו נוכח עקרון ההלימה ופסיקה הנוהגת בתחום נע בין מאסר מותנה למספר 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שיקולי ענישה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חומרת המעשים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חולק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בהחזיקו את תת המקלע המאולתר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שבכוחו להמית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ביצע הנאשם עבירה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שבכוחה לסכן את שלום הציבור והמחייבת ענישה המרתיעה הן את היחיד והן את הרבים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צורך להכביר מילים אודות הפוטנציאל הממית הקיים 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המצוי בידי מי שאינו מורשה בכך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איני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באופן עקרוני דינו של אמצעי לחימה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דמוי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מאולתר שונה מדינו של אמצעי לחימה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תקני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שהרי בכוח שניהם להמית או לפגוע בבריאות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הפכה להיות עבירה נפוצה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ואיני נזקק בעניין זה לסטטיסטיקות ונתונים מסובכים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לפחות במחוז השיפוט בו אני מכהן זהו חזיון נפוץ ובאופן תדיר אני נדרש לגזור את עונשם של מחזיקי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כאלו צעירים נעדרי כל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נמסר כי הנשק נתפס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נסיבות החזקתו עדיין נותרו עלומות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נשק קטלני אשר מגיע לידי עבריינים מזין את מעגל הקטל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ומלבה את החשש לפגיעה בגופם של אזרחים ובכך חומרת התנהגותו של המחזיק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הקשור לתיק הנוסף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מדובר בסיוע להחזקת סם במשקלים גדולים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שנסיבות ההחזקה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המתוארות בעובדות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שבמסגרתן נאלץ שוטר לנפץ את שמשת חלון הרכב כדי לעצור את נהיגתו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מעלות את הסיוע להחזקה דרגת חומרה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התסקיר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התסקיר סקר את תולדות חייו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לימד כי הוא 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שטרם מעצרו עבר לפרנסתו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רכש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נשר מן הלימודים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שלל שימוש בחומרים ממכרים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שהוא נעדר הרשעות קודמות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b/>
          <w:b/>
          <w:bCs/>
          <w:rtl w:val="true"/>
        </w:rPr>
        <w:t>שלל כל בעיתיות בהתנהגותו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צמצם באופן ניכר ומשמעותי את חומרת מעשיו ומעורבותו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נמסר שהוא בעל </w:t>
      </w:r>
      <w:r>
        <w:rPr>
          <w:rFonts w:ascii="Arial" w:hAnsi="Arial" w:cs="Arial"/>
          <w:b/>
          <w:b/>
          <w:bCs/>
          <w:rtl w:val="true"/>
        </w:rPr>
        <w:t>קשרים שוליים</w:t>
      </w:r>
      <w:r>
        <w:rPr>
          <w:rFonts w:ascii="Arial" w:hAnsi="Arial" w:cs="Arial"/>
          <w:rtl w:val="true"/>
        </w:rPr>
        <w:t xml:space="preserve"> עם סביבתו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נמסרה הערכה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</w:t>
      </w:r>
      <w:r>
        <w:rPr>
          <w:rFonts w:ascii="Arial" w:hAnsi="Arial" w:cs="Arial"/>
          <w:b/>
          <w:b/>
          <w:bCs/>
          <w:rtl w:val="true"/>
        </w:rPr>
        <w:t>בעל מאפיינים אישיותיים בעייתיים ופורצי גבול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אוחז ב</w:t>
      </w:r>
      <w:r>
        <w:rPr>
          <w:rFonts w:ascii="Arial" w:hAnsi="Arial" w:cs="Arial"/>
          <w:b/>
          <w:b/>
          <w:bCs/>
          <w:rtl w:val="true"/>
        </w:rPr>
        <w:t>בעיית אמון בגורמי אכיפת החוק וגורמי ממסד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סוכם שקיים </w:t>
      </w:r>
      <w:r>
        <w:rPr>
          <w:rFonts w:ascii="Arial" w:hAnsi="Arial" w:cs="Arial"/>
          <w:b/>
          <w:b/>
          <w:bCs/>
          <w:rtl w:val="true"/>
        </w:rPr>
        <w:t>סיכון משמעותי</w:t>
      </w:r>
      <w:r>
        <w:rPr>
          <w:rFonts w:ascii="Arial" w:hAnsi="Arial" w:cs="Arial"/>
          <w:rtl w:val="true"/>
        </w:rPr>
        <w:t xml:space="preserve"> להישנות עבריינות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אין המלצה שיקומית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שיקולים מקלים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הינו </w:t>
      </w:r>
      <w:r>
        <w:rPr>
          <w:rFonts w:ascii="Arial" w:hAnsi="Arial" w:cs="Arial"/>
          <w:b/>
          <w:b/>
          <w:bCs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עבירות משנת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b/>
          <w:b/>
          <w:bCs/>
          <w:rtl w:val="true"/>
        </w:rPr>
        <w:t>נעדר כל עבר פלילי</w:t>
      </w:r>
      <w:r>
        <w:rPr>
          <w:rFonts w:ascii="Arial" w:hAnsi="Arial" w:cs="Arial"/>
          <w:rtl w:val="true"/>
        </w:rPr>
        <w:t xml:space="preserve"> וזהו מעצרו הראשון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ניהל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חסך זמן ציבורי ניכר</w:t>
      </w:r>
      <w:r>
        <w:rPr>
          <w:rFonts w:ascii="Arial" w:hAnsi="Arial" w:cs="Arial"/>
          <w:rtl w:val="true"/>
        </w:rPr>
        <w:t xml:space="preserve"> בשני התיקים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לדעת מהו עונשם של שני הנאשמים הנותרים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בתיק הסמים של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ברחובות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אשר הורשעו בעקבות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נשלחו לתסקירי שירות המבחן ועניינם קבוע לחודש 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חולק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ממש בטענה שתקופת ריצוי מאסר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מעצר בתקופה משברית זו של מגפת הקורונה קשה שבעתיים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שהיא נעדרת ביקורים של בני משפחה ויתרת הזכויות המגיעות לאסיר במצב דברים רגיל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מסקנה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מונחת בפניי תמונה של נאשם צעיר בגילו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ביצע עבריינות הן מתחום אמצעי הלחימה והן מתחום עבירות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הציג תסקיר שלילי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אופק 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השכיל לשנות את דרכיו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שלמרות העדר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החיסכון בזמן ציבורי ויתרת השיקולים יש לגזור את עונשו באופן המשיב לו כגמולו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המרתיע אותו</w:t>
      </w:r>
      <w:r>
        <w:rPr>
          <w:rFonts w:ascii="Arial" w:hAnsi="Arial" w:cs="Arial"/>
          <w:rtl w:val="true"/>
        </w:rPr>
        <w:t xml:space="preserve"> מלשוב ולבצע עבריינות דומה והמעבר מסר של הרתעה גם לרבים שכמותו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מצער לפגוש אדם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למרות גילו כבר פיתח קשרים שוליים מבוססים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שולל כל בעיתיות בהתנהגותו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הספיק לרכוש חוסר אמון בסיסי בגורמי אכיפת החוק ושהסיכון להישנות עבריינות פורצת גבולות משמעותי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נאשם כזה חייב לפגוש בענישה בעלת משקל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את עונשו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המקובל בפסקי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 דלעיל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בשינויים המחויבים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תוצאה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לאור כל האמור 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גוזר על הנאשם 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מהם תנוכה תקופת מעצרו </w:t>
      </w:r>
      <w:r>
        <w:rPr>
          <w:rFonts w:cs="Arial" w:ascii="Arial" w:hAnsi="Arial"/>
        </w:rPr>
        <w:t>16.1.20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12.2.20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והיא תחושב מתאריך </w:t>
      </w:r>
      <w:r>
        <w:rPr>
          <w:rFonts w:cs="Arial" w:ascii="Arial" w:hAnsi="Arial"/>
        </w:rPr>
        <w:t>2.7.20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והלאה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שאותם לא ירצה הנאשם אלא אם כן יעבור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עבירת נשק או עבירה מסוג פשע בניגוד ל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>חודש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לא ירצה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אם כן יעבור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עבירה של הפרעה לשוטר במילוי תפקידו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 כללי למוצגים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הסמים יושמדו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לבית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המחוזי מרכז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לוד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מנחם מזרחי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19410-07-20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סלים קרינאוי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case/26830805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/275" TargetMode="External"/><Relationship Id="rId18" Type="http://schemas.openxmlformats.org/officeDocument/2006/relationships/hyperlink" Target="http://www.nevo.co.il/case/22905664" TargetMode="External"/><Relationship Id="rId19" Type="http://schemas.openxmlformats.org/officeDocument/2006/relationships/hyperlink" Target="http://www.nevo.co.il/case/25528737" TargetMode="External"/><Relationship Id="rId20" Type="http://schemas.openxmlformats.org/officeDocument/2006/relationships/hyperlink" Target="http://www.nevo.co.il/case/23798540" TargetMode="External"/><Relationship Id="rId21" Type="http://schemas.openxmlformats.org/officeDocument/2006/relationships/hyperlink" Target="http://www.nevo.co.il/case/5852404" TargetMode="External"/><Relationship Id="rId22" Type="http://schemas.openxmlformats.org/officeDocument/2006/relationships/hyperlink" Target="http://www.nevo.co.il/case/26913995" TargetMode="External"/><Relationship Id="rId23" Type="http://schemas.openxmlformats.org/officeDocument/2006/relationships/hyperlink" Target="http://www.nevo.co.il/case/23587328" TargetMode="External"/><Relationship Id="rId24" Type="http://schemas.openxmlformats.org/officeDocument/2006/relationships/hyperlink" Target="http://www.nevo.co.il/case/22505401" TargetMode="External"/><Relationship Id="rId25" Type="http://schemas.openxmlformats.org/officeDocument/2006/relationships/hyperlink" Target="http://www.nevo.co.il/case/26983382" TargetMode="External"/><Relationship Id="rId26" Type="http://schemas.openxmlformats.org/officeDocument/2006/relationships/hyperlink" Target="http://www.nevo.co.il/case/24900915" TargetMode="External"/><Relationship Id="rId27" Type="http://schemas.openxmlformats.org/officeDocument/2006/relationships/hyperlink" Target="http://www.nevo.co.il/case/25614110" TargetMode="External"/><Relationship Id="rId28" Type="http://schemas.openxmlformats.org/officeDocument/2006/relationships/hyperlink" Target="http://www.nevo.co.il/case/24908116" TargetMode="External"/><Relationship Id="rId29" Type="http://schemas.openxmlformats.org/officeDocument/2006/relationships/hyperlink" Target="http://www.nevo.co.il/case/24372653" TargetMode="External"/><Relationship Id="rId30" Type="http://schemas.openxmlformats.org/officeDocument/2006/relationships/hyperlink" Target="http://www.nevo.co.il/case/25646713" TargetMode="External"/><Relationship Id="rId31" Type="http://schemas.openxmlformats.org/officeDocument/2006/relationships/hyperlink" Target="http://www.nevo.co.il/case/18736501" TargetMode="External"/><Relationship Id="rId32" Type="http://schemas.openxmlformats.org/officeDocument/2006/relationships/hyperlink" Target="http://www.nevo.co.il/case/19999565" TargetMode="External"/><Relationship Id="rId33" Type="http://schemas.openxmlformats.org/officeDocument/2006/relationships/hyperlink" Target="http://www.nevo.co.il/case/6128041" TargetMode="External"/><Relationship Id="rId34" Type="http://schemas.openxmlformats.org/officeDocument/2006/relationships/hyperlink" Target="http://www.nevo.co.il/case/25294518" TargetMode="External"/><Relationship Id="rId35" Type="http://schemas.openxmlformats.org/officeDocument/2006/relationships/hyperlink" Target="http://www.nevo.co.il/case/21017469" TargetMode="External"/><Relationship Id="rId36" Type="http://schemas.openxmlformats.org/officeDocument/2006/relationships/hyperlink" Target="http://www.nevo.co.il.lib.pac.ac.il:2048/case/6169989" TargetMode="External"/><Relationship Id="rId37" Type="http://schemas.openxmlformats.org/officeDocument/2006/relationships/hyperlink" Target="http://www.nevo.co.il/case/25087888" TargetMode="External"/><Relationship Id="rId38" Type="http://schemas.openxmlformats.org/officeDocument/2006/relationships/hyperlink" Target="http://www.nevo.co.il/case/5633505" TargetMode="External"/><Relationship Id="rId39" Type="http://schemas.openxmlformats.org/officeDocument/2006/relationships/hyperlink" Target="http://www.nevo.co.il/case/26298367" TargetMode="External"/><Relationship Id="rId40" Type="http://schemas.openxmlformats.org/officeDocument/2006/relationships/hyperlink" Target="http://www.nevo.co.il.lib.pac.ac.il:2048/case/22535152" TargetMode="External"/><Relationship Id="rId41" Type="http://schemas.openxmlformats.org/officeDocument/2006/relationships/hyperlink" Target="http://www.nevo.co.il.lib.pac.ac.il:2048/case/18118326" TargetMode="External"/><Relationship Id="rId42" Type="http://schemas.openxmlformats.org/officeDocument/2006/relationships/hyperlink" Target="http://www.nevo.co.il/law/4216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2021-12-14T10:46:00Z</dcterms:created>
  <dc:creator> </dc:creator>
  <dc:description/>
  <cp:keywords/>
  <dc:language>en-IL</dc:language>
  <cp:lastModifiedBy>h10</cp:lastModifiedBy>
  <dcterms:modified xsi:type="dcterms:W3CDTF">2021-12-14T10:46:00Z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סלים קרינאוי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26830805;22905664;25528737;23798540;5852404;26913995;23587328;22505401;26983382;24900915;25614110;24908116;24372653;25646713;18736501;19999565;6128041;25294518;21017469;25087888;5633505;26298367</vt:lpwstr>
  </property>
  <property fmtid="{D5CDD505-2E9C-101B-9397-08002B2CF9AE}" pid="9" name="CITY">
    <vt:lpwstr>רמ'</vt:lpwstr>
  </property>
  <property fmtid="{D5CDD505-2E9C-101B-9397-08002B2CF9AE}" pid="10" name="DATE">
    <vt:lpwstr>20201210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מנחם מזרחי</vt:lpwstr>
  </property>
  <property fmtid="{D5CDD505-2E9C-101B-9397-08002B2CF9AE}" pid="14" name="LAWLISTTMP1">
    <vt:lpwstr>70301/144.a;031;275</vt:lpwstr>
  </property>
  <property fmtid="{D5CDD505-2E9C-101B-9397-08002B2CF9AE}" pid="15" name="LAWLISTTMP2">
    <vt:lpwstr>4216/007.a;007.c</vt:lpwstr>
  </property>
  <property fmtid="{D5CDD505-2E9C-101B-9397-08002B2CF9AE}" pid="16" name="LAWYER">
    <vt:lpwstr>הילה צור;שוקרי אבו טביק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19410;44662</vt:lpwstr>
  </property>
  <property fmtid="{D5CDD505-2E9C-101B-9397-08002B2CF9AE}" pid="23" name="NEWPARTB">
    <vt:lpwstr>07;01</vt:lpwstr>
  </property>
  <property fmtid="{D5CDD505-2E9C-101B-9397-08002B2CF9AE}" pid="24" name="NEWPARTC">
    <vt:lpwstr>20;20</vt:lpwstr>
  </property>
  <property fmtid="{D5CDD505-2E9C-101B-9397-08002B2CF9AE}" pid="25" name="NEWPROC">
    <vt:lpwstr>תפ;תפ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380020201210</vt:lpwstr>
  </property>
  <property fmtid="{D5CDD505-2E9C-101B-9397-08002B2CF9AE}" pid="35" name="TYPE_N_DATE">
    <vt:lpwstr>38020201210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