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טבת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ינואר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2020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19417-11-16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אלקיעאן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lang w:val="en-US" w:eastAsia="en-US"/>
              </w:rPr>
            </w:pP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  <w:lang w:val="en-US" w:eastAsia="en-US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חיצוני</w:t>
            </w:r>
            <w:r>
              <w:rPr>
                <w:rtl w:val="true"/>
                <w:lang w:val="en-US" w:eastAsia="en-US"/>
              </w:rPr>
              <w:t xml:space="preserve">: </w:t>
            </w:r>
            <w:r>
              <w:rPr>
                <w:sz w:val="20"/>
                <w:szCs w:val="20"/>
              </w:rPr>
              <w:t>6608/16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FrankRuehl"/>
                <w:sz w:val="26"/>
                <w:szCs w:val="26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  רון סולקין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pacing w:lineRule="exact" w:line="240" w:before="120" w:after="12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שאול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ציון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וספי בן מחמד אבו אלקיעאן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דרויש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נאשף</w:t>
            </w:r>
          </w:p>
        </w:tc>
      </w:tr>
    </w:tbl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uppressLineNumbers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קנס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Cs w:val="26"/>
            <w:rtl w:val="true"/>
          </w:rPr>
          <w:t>לסעיף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וסיפא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קטלני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שלילית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המדובר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לכאורה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מוחזק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אוטומטי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מוחזק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בלווית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במחסנית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לשימוש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יתכן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המבוקש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suppressLineNumbers/>
        <w:spacing w:lineRule="auto" w:line="360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כתב האישום והשתלשלות ההליך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שלפני נותן את הדין בגין עבירות של החזקת נשק ותחמושת שלא כדין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בניגוד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רישא וסיפא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בהתאם לעובדות כתב האישום המתוקן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תיקון פרוצדורלי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נתפס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בתאריך </w:t>
      </w:r>
      <w:r>
        <w:rPr>
          <w:rFonts w:cs="David" w:ascii="David" w:hAnsi="David"/>
          <w:lang w:val="en-US" w:eastAsia="en-US"/>
        </w:rPr>
        <w:t>26.10.16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סמוך לשעה </w:t>
      </w:r>
      <w:r>
        <w:rPr>
          <w:rFonts w:cs="David" w:ascii="David" w:hAnsi="David"/>
          <w:lang w:val="en-US" w:eastAsia="en-US"/>
        </w:rPr>
        <w:t>05:00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בבוקר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מחזיק בנשק חם מסוג אקדח ברטה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חצי אוטומטי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מודל </w:t>
      </w:r>
      <w:r>
        <w:rPr>
          <w:rFonts w:cs="Calibri" w:ascii="Calibri" w:hAnsi="Calibri"/>
          <w:lang w:val="en-US" w:eastAsia="en-US"/>
        </w:rPr>
        <w:t>F84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קליבר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 קצר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מספר סידורי </w:t>
      </w:r>
      <w:r>
        <w:rPr>
          <w:rFonts w:cs="Calibri" w:ascii="Calibri" w:hAnsi="Calibri"/>
          <w:lang w:val="en-US" w:eastAsia="en-US"/>
        </w:rPr>
        <w:t>D79906Y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בצירוף מחסנית ובה כדורים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הנשק הוחזק מתחת לכיסא הנהג ברכב אותו החזיק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מסוג מרצדס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ascii="David" w:hAnsi="David"/>
          <w:rtl w:val="true"/>
          <w:lang w:val="en-US" w:eastAsia="en-US"/>
        </w:rPr>
        <w:t>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cs="David" w:ascii="David" w:hAnsi="David"/>
          <w:lang w:val="en-US" w:eastAsia="en-US"/>
        </w:rPr>
        <w:t>53-321-59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לאחר הליך של דיון מקדמי וכן סיום ההליכים המקדמיים – כפרה ההגנה באשמה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במענה לכתב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הודה הנאשם בתפיסת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במקום ובזמן המתואר בכתב האישום אך 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מעולם לא החזיק בנשק ולא ידע על קיומו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cs="Arial" w:ascii="Arial" w:hAnsi="Arial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שמיעת הראיות בתיק זה הסתיימה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לאחר מספר דיונים שבוטלו מטעמים שונים הקשורים בהגנה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לרבות אי התייצבות הנאשם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אי התייצבות עד מטעם ההגנה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טענת הסניגור כי אינו חש בטוב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לאחר שההגנה לא הגישה סיכומיה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לאחר מספר רב של ארכות שניתנו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וגם לאחר חיוב הסניגור בהוצאות אישיות – ניתנה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בדלית ברירה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הכרעת דין בהעדר סיכומי ההגנה והנאשם הורשע בעובדות ובעבירות שבכתב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עלה בידי התביעה הכללית להוכיחן ברמת הראיות הנדרשת במשפט פלילי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לאחר מתן הכרעת הדין – עתרה ההגנה לארכה על מנת לשקול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האם תבקש להפנות הנאשם לחקירת שירות המבחן למבוגרים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גם לאחר מכן – נדחו מספר דיונים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מסיבות הקשורות להגנה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בין היתר לאור הטענה 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הנאשם מבקש להחליף את ייצוגו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בסופו של דבר לא הוחלף הייצוג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וכן לאור טענת ההגנה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מבקשת להביא עדים לעניין העונש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בסופו של דבר – לא הובאו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דיונים נוספים נדחו בשל אילוצים אישיים או משפחתיים של הסניגור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בסופו של דבר פרשת העונש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אי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קבלת בקשה מטעם ההגנה לדחות המועד פעם נוספת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ודחית בקשתה להפנות הנאשם לחקירת שירות המבחן למבוגרים – משלא עשתה כן במועדים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שנקצבו לשם כך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מכאן – גזר דין 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u w:val="single"/>
          <w:rtl w:val="true"/>
          <w:lang w:val="en-US" w:eastAsia="en-US"/>
        </w:rPr>
        <w:t>התביעה</w:t>
      </w:r>
      <w:r>
        <w:rPr>
          <w:rFonts w:ascii="David" w:hAnsi="David"/>
          <w:rtl w:val="true"/>
          <w:lang w:val="en-US" w:eastAsia="en-US"/>
        </w:rPr>
        <w:t xml:space="preserve"> לא הגישה ראיות לעניין העונש בתיק 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u w:val="single"/>
          <w:rtl w:val="true"/>
          <w:lang w:val="en-US" w:eastAsia="en-US"/>
        </w:rPr>
        <w:t>ההגנה</w:t>
      </w:r>
      <w:r>
        <w:rPr>
          <w:rFonts w:ascii="David" w:hAnsi="David"/>
          <w:rtl w:val="true"/>
          <w:lang w:val="en-US" w:eastAsia="en-US"/>
        </w:rPr>
        <w:t xml:space="preserve"> הגישה מוצגים לעניין העונש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כדלקמן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אישור על שירות לאומי אזרחי בנוגע לבנו של הנאשם – נ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מסמכי מל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 בנוגע לבתו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פיהן הוכרה בתו כנכה והוא זכאי לקצבאות שונות בעבורה – נ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אישור על ניכוי מס בעסק שבבעלות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בתחום שירותי סיכה ורחיצה – נ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תעודת שחרור מצה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 בנוגע לנאשם – נ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פי המפורט בה – השתחרר מצה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מלא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מפקדי הנאשם העריכו את התנהגותו כראויה לשבח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פסק דין המעניק לנאשם ולרעייתו אפוטרפסות על אחד מילדיו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שאינו מסוגל לנהל עניינו בעצמו – נ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מכתבים מראש מועצת חורה – מר חאבס אלעטאונה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 קרוב משפחתו של הנאשם – ראש המשפחה המורחבת – מר סאלם 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אעבר אבו אלקיעאן – נ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פי המפורט במכתבים – מפרט הנאשם בעצמו כראש פלג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המונה </w:t>
      </w:r>
      <w:r>
        <w:rPr>
          <w:rFonts w:cs="David" w:ascii="David" w:hAnsi="David"/>
          <w:lang w:val="en-US" w:eastAsia="en-US"/>
        </w:rPr>
        <w:t>300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נפשות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בתוך המשפחה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פעיל חברתי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לרבות בוועד ההורים ביישוב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משמש כמגשר ליישוב סכסוכים ונחשב אדם חיוני למועצה וליישוב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חוות דעת פרטית פסיכו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סוציאלית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קרימינולוגית – נ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פי המפורט בחוות הדעת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מנהל הנאשם חיים נורמטיביים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נשוי לבת דודה מדרגה ראשונה ומטופל 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ילדים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חלקם בעלי צרכים מיוחדים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שירת בצה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 לרבות כלוחם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מנהל עסקים משפחתיים בתחום סחר בכלי רכב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הודה בעבירה המיוחסת לו בשיחה עם הקרימינולוגית הפרטית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טען בפניה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שגה באופן ניהול ההליך המשפטי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בכך שבחר שלא להודות בעבירה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מתוך חוסר נסיונו בהליכים משפטיים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גילה עמדות נורמטיביות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360" w:start="360"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הקרימינולוגית הפרטית התרשמה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מדובר באדם שאין לו דפוסים עברייניים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לנוכח נטילת אחריות על מעשיו – המליצה לשלבו בטיפול פסיכו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סוציאלי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בו ירכוש כלים להתנהגות נכונה בעת לחץ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שיאפשרו ביטוי רגשותיו ועיבוד קשיו הרגשיים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עוד ציינה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עונש מאסר בפועל צפוי להביא לרגרסיה במצבו בהתאם 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אפקט הקרימינוגני</w:t>
      </w:r>
      <w:r>
        <w:rPr>
          <w:rFonts w:cs="David" w:ascii="David" w:hAnsi="David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טענות הצדדים</w:t>
      </w:r>
    </w:p>
    <w:p>
      <w:pPr>
        <w:pStyle w:val="Normal"/>
        <w:spacing w:lineRule="auto" w:line="360"/>
        <w:ind w:firstLine="360" w:start="360" w:end="0"/>
        <w:jc w:val="start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u w:val="single"/>
          <w:rtl w:val="true"/>
          <w:lang w:val="en-US" w:eastAsia="en-US"/>
        </w:rPr>
        <w:t>התביעה</w:t>
      </w:r>
      <w:r>
        <w:rPr>
          <w:rFonts w:ascii="David" w:hAnsi="David"/>
          <w:rtl w:val="true"/>
          <w:lang w:val="en-US" w:eastAsia="en-US"/>
        </w:rPr>
        <w:t xml:space="preserve"> הגישה טענותיה לעונש בכתב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ת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ואף השלימה אותן על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פה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התביעה הדגישה את הסיכון לשלום הציבור ולבטחונו כתוצאה מאחזקת כלי נשק בלתי חוקיים – הן מתוך החשש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ישמשו לפעילות זדונית והן מחשש לתאונות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התביעה הדגישה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הנשק הוחזק בצירוף תחמושת – מחסנית טעונה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עוד נטען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הנשק הוחזק במקום בו קיימת נגישות לבני המשפחה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לרבות ילדים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התביעה טענה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המדובר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מכת מדינה</w:t>
      </w:r>
      <w:r>
        <w:rPr>
          <w:rFonts w:cs="David" w:ascii="David" w:hAnsi="David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התביעה טוענת למתחם 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שינוע 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–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 בגין החזקת הנשק והתחמושת יחדיו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במסגרת המתחם – עותרת התביעה לענישה על החלק התחתון של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לא ברף הנמוך ממש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עוד עותרת להשית על הנאשם קנס משמעותי ומאסר מותנה מרתיע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כן עותרת התביעה לחילוט הרכב בו החוזק הנשק הבלתי חוקי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התביעה מבקשת שלא ליתן משקל לחוות הדעת הפרטית – נ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שהנאשם לא הופנה לחקירות שירות המבחן למבוגרים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u w:val="single"/>
          <w:rtl w:val="true"/>
          <w:lang w:val="en-US" w:eastAsia="en-US"/>
        </w:rPr>
        <w:t>ההגנה</w:t>
      </w:r>
      <w:r>
        <w:rPr>
          <w:rFonts w:ascii="David" w:hAnsi="David"/>
          <w:rtl w:val="true"/>
          <w:lang w:val="en-US" w:eastAsia="en-US"/>
        </w:rPr>
        <w:t xml:space="preserve"> הסכימה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קיימת חשיבות להיאבק בתופעה של החזקת נשק בלתי חוקי וכן התגברות האלימות בחברה הערבית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טענה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הדבר צריך להיעשות בדרך של חינוך ולא בענישה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הגנה טענה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מתחם הענישה 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 העבירה – נמוך מזה הנטען על ידי התביעה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  <w:lang w:val="en-US" w:eastAsia="en-US"/>
        </w:rPr>
        <w:t>ההגנה ביקשה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שלא להביא לחובת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העובדה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בחר לנהל את התיק וייחסה זאת לייעוץ המשפטי שקיבל הנאשם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יצוין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הסניגור הוא אשר ייצג את הנאשם לאורך ההליך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ההגנה הפנתה לגזר 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שניתן בבית משפט זה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47445-08-17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גבועה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David" w:hAnsi="David"/>
          <w:rtl w:val="true"/>
          <w:lang w:val="en-US" w:eastAsia="en-US"/>
        </w:rPr>
        <w:t>בו נדון נאשם לעונש שיקומי בגין אחזקת נשק 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ההגנה עתרה לחרוג ממתחם הנאשם בעניינו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מטעמי שיקום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ולהסתפק במאסר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שירוצה בדרך של עבודות שירות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u w:val="single"/>
          <w:rtl w:val="true"/>
          <w:lang w:val="en-US" w:eastAsia="en-US"/>
        </w:rPr>
        <w:t>בדברו האחרון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הביע הנאשם צער על 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חזר וטען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האקדח של בנו והוסיף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נטל אותו לרשותו ושם אותו ברכב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תוף חשש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שמי מילדיו יעשה עמו משהו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מסר כי האקדח אינו שלו לאור יעוץ מפשטי שקיבל והיום – אינו יודע מה לומר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סיפר על נסיבותיו האישיות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לרבות שניהם מילדיו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הסובלים מנכות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כשההורים משמשים כאפוטרופסים שלהם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סיפר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יש לו מגרש מכוניות וגם עסק לרחיצת מכוניות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שלא כדין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כלי הנשק עלול למצוא דרכו לפעילות שלילית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פלילית ואם נגד בטחון המדינה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החזקת נשק על ידי מי שלא נבדק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נמצא מתאים ולא הוכשר 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מי שמחזיק נשק ברישיון נדרש לאפסנו בכספת מאובטחת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מאחורי שני מנעולים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עלולה להביא לסיכון שלום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אם אין ראיות שהוחזק לצורך פעילות שלילית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כמפורט לעיל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  <w:lang w:val="en-US" w:eastAsia="en-US"/>
        </w:rPr>
      </w:pPr>
      <w:r>
        <w:rPr>
          <w:rFonts w:cs="Times New Roman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המבצעים את תפקידם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3288/14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קריספל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>בשל פוטנציאל ההרס הטמון בכלי נשק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הכולל גם אפשרות לפגיעה עיוורת באנשים מן הישוב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מתפקידו של בית המשפט להרתיע אף מפני עבירת החזקת נשק שלא כדין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זאת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כדי לבלום את שרשרת העבירות בשלב ראשוני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4945/13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סלימאן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haroni" w:ascii="Aharoni" w:hAnsi="Aharoni"/>
          <w:rtl w:val="true"/>
          <w:lang w:val="en-US" w:eastAsia="en-US"/>
        </w:rPr>
        <w:t xml:space="preserve">... </w:t>
      </w:r>
      <w:r>
        <w:rPr>
          <w:rFonts w:ascii="Aharoni" w:hAnsi="Aharoni" w:cs="Aharoni"/>
          <w:rtl w:val="true"/>
          <w:lang w:val="en-US" w:eastAsia="en-US"/>
        </w:rPr>
        <w:t>התגלגלותם של כלי נשק מיד ליד ללא פיקוח עלולה להוביל להגעתם בדרך לא דרך לגורמים פליליים ועוינים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אין לדעת מה יעלה בגורלם של  ולאלו תוצאות הרסניות יובילו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ודוק</w:t>
      </w:r>
      <w:r>
        <w:rPr>
          <w:rFonts w:cs="Aharoni" w:ascii="Aharoni" w:hAnsi="Aharoni"/>
          <w:rtl w:val="true"/>
          <w:lang w:val="en-US" w:eastAsia="en-US"/>
        </w:rPr>
        <w:t xml:space="preserve">: </w:t>
      </w:r>
      <w:r>
        <w:rPr>
          <w:rFonts w:ascii="Aharoni" w:hAnsi="Aharoni" w:cs="Aharoni"/>
          <w:rtl w:val="true"/>
          <w:lang w:val="en-US" w:eastAsia="en-US"/>
        </w:rPr>
        <w:t>הסיכון שנשקף לשלום הציבור צריך להילקח בחשבון על ידי כל מי שמחזיק בידו נשק שלא כדין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u w:val="single"/>
          <w:rtl w:val="true"/>
          <w:lang w:val="en-US" w:eastAsia="en-US"/>
        </w:rPr>
        <w:t>גם אם אינו מחזיק בו למטרת ביצוען של עבירות אחרות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באשר המחזיק בו נתון תמיד לחשש שיתפתה לעשות בו שימוש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ולו ברגעי לחץ ופחד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ההדגשה אינה במקור</w:t>
      </w:r>
      <w:r>
        <w:rPr>
          <w:rFonts w:cs="David" w:ascii="David" w:hAnsi="David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בשורה של פסקי דין 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u w:val="single"/>
          <w:rtl w:val="true"/>
          <w:lang w:val="en-US" w:eastAsia="en-US"/>
        </w:rPr>
        <w:t>חומרת הסיכון הנשקף מעבירות אלה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לכאורה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2718/04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דאחל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בבוא בית המשפט לשקול את הענישה בעבירות מסוג זה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עליו לתת משקל נכבד יותר לאינטרס הציבורי ולצורך להרתיע עבריינים בכוח מלבצע עבירות דומות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על פני הנסיבות האישיות של העבריין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עוד ראו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5220/09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עוואודה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 xml:space="preserve">אשר על כן משכבר נקבע הכלל לפיו </w:t>
      </w:r>
      <w:r>
        <w:rPr>
          <w:rFonts w:ascii="Aharoni" w:hAnsi="Aharoni" w:cs="Aharoni"/>
          <w:u w:val="single"/>
          <w:rtl w:val="true"/>
          <w:lang w:val="en-US" w:eastAsia="en-US"/>
        </w:rPr>
        <w:t>ככלל יש לאסור את המבצעים עבירה זו</w:t>
      </w:r>
      <w:r>
        <w:rPr>
          <w:rFonts w:cs="Aharoni" w:ascii="Aharoni" w:hAnsi="Aharoni"/>
          <w:u w:val="single"/>
          <w:rtl w:val="true"/>
          <w:lang w:val="en-US" w:eastAsia="en-US"/>
        </w:rPr>
        <w:t xml:space="preserve">, </w:t>
      </w:r>
      <w:r>
        <w:rPr>
          <w:rFonts w:ascii="Aharoni" w:hAnsi="Aharoni" w:cs="Aharoni"/>
          <w:u w:val="single"/>
          <w:rtl w:val="true"/>
          <w:lang w:val="en-US" w:eastAsia="en-US"/>
        </w:rPr>
        <w:t>גם אם מדובר בעבירה ראשונה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מאחורי סורג ובריח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ואילו אורך התקופה כלול בנסיבות הספציפיות של העושה והמעשה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ההדגשה אינה במקור</w:t>
      </w:r>
      <w:r>
        <w:rPr>
          <w:rFonts w:cs="David" w:ascii="David" w:hAnsi="David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על אחת כמה וכמה פוטנציאל הסיכון כאשר כלי נשק חם מוחזק בתוך רכב</w:t>
      </w:r>
      <w:r>
        <w:rPr>
          <w:rFonts w:cs="David" w:ascii="David" w:hAnsi="David"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בעת הנסיעה בדרכים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לא פעם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קיימים חיכוכים בין נהגים או בינם לבין עוברי דרך שונים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כשהיצרים מתלהטים והנגישות לכלי נשק חם שהונח ברכב במערכה הראשונה – עלולה להביא לתוצאות קשות וקטלניות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במערכות שלאחר מכן</w:t>
      </w:r>
      <w:r>
        <w:rPr>
          <w:rFonts w:cs="David" w:ascii="David" w:hAnsi="David"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אשר למתחם הענישה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23419-01-17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זניד ואח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נדון ערעור המדינה בעניינם של שני משיבים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האחד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נתפס מחזיק אקדח בקוטר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מ ביחד עם מחסנית ובה </w:t>
      </w:r>
      <w:r>
        <w:rPr>
          <w:rFonts w:cs="David" w:ascii="David" w:hAnsi="David"/>
          <w:lang w:val="en-US" w:eastAsia="en-US"/>
        </w:rPr>
        <w:t>17</w:t>
      </w:r>
      <w:r>
        <w:rPr>
          <w:rFonts w:cs="David"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וכן רובה סער מאולתר דמוי </w:t>
      </w:r>
      <w:r>
        <w:rPr>
          <w:rFonts w:cs="Arial" w:ascii="Arial" w:hAnsi="Arial"/>
          <w:lang w:val="en-US" w:eastAsia="en-US"/>
        </w:rPr>
        <w:t>M16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עם מחסנית ובה </w:t>
      </w:r>
      <w:r>
        <w:rPr>
          <w:rFonts w:cs="David" w:ascii="David" w:hAnsi="David"/>
          <w:lang w:val="en-US" w:eastAsia="en-US"/>
        </w:rPr>
        <w:t>28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השני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נתפס מחזיק בשני אקדחים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כן בצירוף תחמושת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משפט קמא קבע מתחם ענישה שינוע בין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  <w:lang w:val="en-US" w:eastAsia="en-US"/>
        </w:rPr>
        <w:t>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ערעור המדינה התקבל בהסכמת הצדדים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שהוחמרו עונשי המאסר שהושתו על המשיבים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26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חדשי מאסר בפועל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בהתאמה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אף מצא לציין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u w:val="single"/>
          <w:rtl w:val="true"/>
          <w:lang w:val="en-US" w:eastAsia="en-US"/>
        </w:rPr>
        <w:t>המתחמים שנקבעו על ידי בית משפט השלום נמוכים יתר על המידה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בעקבות החלטת בית המשפט המחוזי בערעור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במקרה נוסף שנדון בסמוך לאחר מכן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קבע בית משפט השלום מתחם ענישה שינוע בין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חדשי מאסר בפועל בגין החזקת כלי נשק מאולתר </w:t>
      </w:r>
      <w:r>
        <w:rPr>
          <w:rFonts w:ascii="David" w:hAnsi="David"/>
          <w:u w:val="single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מסוג תת מקלע בצירוף מחסנית ובה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7544-11-16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אלאסד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באותו 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הושת על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 עבר פלילי שאינו מכביד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עונש מאסר בפועל בן </w:t>
      </w:r>
      <w:r>
        <w:rPr>
          <w:rFonts w:cs="David" w:ascii="David" w:hAnsi="David"/>
          <w:lang w:val="en-US" w:eastAsia="en-US"/>
        </w:rPr>
        <w:t>21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ערעור שהוגש על גזר הדין – נדחה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ואף נקבע על ידי 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העונש עומד במתחם ענישה ראוי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22885-05-17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אלאסד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4945/13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סלימאן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אושר מתחם ענישה שינוע בין שנה ועד שלוש שנות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 החזקת כלי נשק  בודד מסוג קרל גוסטב וכן מחסנית וכדורים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אף באותו 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המדובר היה בצעיר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ניהל אורח חיים נורמטיבי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כולל לימודים אקדמאיים בפקולטה לאדריכלות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ללא עבר פלילי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גם באותו 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המליץ שירות המבחן להסתפק בעונש מאסר בפועל לריצוי בדרך של עבודות 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בית המשפט העליון 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ראוי לקבוע עונשים מרתיעים בגין עבירות אלה והעמיד המתחם שם בין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ועד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אמנם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באותו מקרה הורשע המשיב גם בעבירה חמורה 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 נשיאת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בניגוד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לפני כשנה ומחצה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ניתן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בבית משפט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גזר 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32560-12-16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אלסאריעה </w:t>
      </w:r>
      <w:r>
        <w:rPr>
          <w:rFonts w:cs="David" w:ascii="David" w:hAnsi="David"/>
          <w:b/>
          <w:bCs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נדון נאשם בגין עבירה של נסיון להחזקת אקדח מסוג ברטה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העבירה תוקנה לנסיון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 הסדר טעון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בשל כך </w:t>
      </w:r>
      <w:r>
        <w:rPr>
          <w:rFonts w:ascii="David" w:hAnsi="David"/>
          <w:u w:val="single"/>
          <w:rtl w:val="true"/>
          <w:lang w:val="en-US" w:eastAsia="en-US"/>
        </w:rPr>
        <w:t>שהנשק לא היה תקין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וכן תת מקלע מאולתר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כשכלי הנשק הוחזקו בביתו של הנאשם 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לעונש מאסר בן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חדשים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במסגרת מתחם כולל שנע 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42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דחה בית המשפט המחוזי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הרכב אב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 כב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הנשיאה ר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יפה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כץ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ערעור ההגנה על חומרת העונש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תוך שמצא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כי חרף העדר אינדיקציה על שימוש פלילי או אחר המתוכן בנשק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ועל אף נסיבותיו האישיות של המערער שם 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(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צעיר ללא עבר פלילי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) –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הרי הנסיבות האישיות ואינטרס השיקום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נדחים מפני האינטרס הציבורי של מיגור עבירות מסוג זה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בפסק דין 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שניתן בעת האחרונה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העמיד 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העונש על אחזקת רובה סער בודד על </w:t>
      </w:r>
      <w:r>
        <w:rPr>
          <w:rFonts w:cs="David" w:ascii="David" w:hAnsi="David"/>
          <w:lang w:val="en-US" w:eastAsia="en-US"/>
        </w:rPr>
        <w:t>22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כשאחת מחברי ההרכב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בדעת מיעוט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הציעה להעמידו על </w:t>
      </w:r>
      <w:r>
        <w:rPr>
          <w:rFonts w:cs="David" w:ascii="David" w:hAnsi="David"/>
          <w:lang w:val="en-US" w:eastAsia="en-US"/>
        </w:rPr>
        <w:t>28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באותו מקרה </w:t>
      </w:r>
      <w:r>
        <w:rPr>
          <w:rFonts w:cs="David" w:ascii="David" w:hAnsi="David"/>
          <w:rtl w:val="true"/>
          <w:lang w:val="en-US" w:eastAsia="en-US"/>
        </w:rPr>
        <w:t>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32503-04-19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אלקורעאן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David" w:hAnsi="David"/>
          <w:rtl w:val="true"/>
          <w:lang w:val="en-US" w:eastAsia="en-US"/>
        </w:rPr>
        <w:t xml:space="preserve">פסק הדין מיום </w:t>
      </w:r>
      <w:r>
        <w:rPr>
          <w:rFonts w:cs="David" w:ascii="David" w:hAnsi="David"/>
          <w:lang w:val="en-US" w:eastAsia="en-US"/>
        </w:rPr>
        <w:t>12.06.19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היו נתונים לחומרה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המדובר היה בכלי נשק 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לי תקני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שנעשה בו שימוש פלילי בעבר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ולנאשם שם גם היה עבר 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כי לא מכביד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אך גם 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בבית משפט השלום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ענישה זהה ולא היה שינוי במתחם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בפסק דין 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שניתן בתקופה האחרונה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נדחה ערעור ההגנה על עונש בפועל 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חודשים בתוספת מאסר מותנה וקנס בסך </w:t>
      </w:r>
      <w:r>
        <w:rPr>
          <w:rFonts w:cs="David" w:ascii="David" w:hAnsi="David"/>
          <w:lang w:val="en-US" w:eastAsia="en-US"/>
        </w:rPr>
        <w:t>12,000</w:t>
      </w:r>
      <w:r>
        <w:rPr>
          <w:rFonts w:cs="David" w:ascii="David" w:hAnsi="David"/>
          <w:rtl w:val="true"/>
          <w:lang w:val="en-US" w:eastAsia="en-US"/>
        </w:rPr>
        <w:t xml:space="preserve"> ₪, </w:t>
      </w:r>
      <w:r>
        <w:rPr>
          <w:rFonts w:ascii="David" w:hAnsi="David"/>
          <w:rtl w:val="true"/>
          <w:lang w:val="en-US" w:eastAsia="en-US"/>
        </w:rPr>
        <w:t>שהושתו על צעיר שהחזיק כלי נשק מסוג תת מקלע מאולתר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אותו מערר החזיק בנשק למשך עשרה ימים בלבד ואף הוסכם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החזיקו בעבור אחר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הרכב בראשות הנשיאה כב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השופטת ר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יפה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כץ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/>
          <w:lang w:val="en-US" w:eastAsia="en-US"/>
        </w:rPr>
      </w:pPr>
      <w:r>
        <w:rPr>
          <w:rFonts w:ascii="David" w:hAnsi="David" w:cs="Aharoni"/>
          <w:rtl w:val="true"/>
          <w:lang w:val="en-US" w:eastAsia="en-US"/>
        </w:rPr>
        <w:t>בית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המשפט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קמה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ציין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ובצדק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את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החומרה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הרבה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שיש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לראות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בעבירות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הקשורות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בנשק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ואף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בצדק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ציין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כי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בית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המשפט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מצווה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להחמיר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את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הענישה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בעבירות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כגון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אלה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כדי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להגן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על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הציבור</w:t>
      </w:r>
      <w:r>
        <w:rPr>
          <w:rFonts w:cs="Aharoni" w:ascii="David" w:hAnsi="David"/>
          <w:rtl w:val="true"/>
          <w:lang w:val="en-US" w:eastAsia="en-US"/>
        </w:rPr>
        <w:t xml:space="preserve">. </w:t>
      </w:r>
      <w:r>
        <w:rPr>
          <w:rFonts w:ascii="David" w:hAnsi="David" w:cs="Aharoni"/>
          <w:rtl w:val="true"/>
          <w:lang w:val="en-US" w:eastAsia="en-US"/>
        </w:rPr>
        <w:t>כך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צדק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גם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בית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המשפט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בעת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שקבע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מתחם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עונש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כפי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שקבע</w:t>
      </w:r>
      <w:r>
        <w:rPr>
          <w:rFonts w:cs="Aharoni" w:ascii="David" w:hAnsi="David"/>
          <w:rtl w:val="true"/>
          <w:lang w:val="en-US" w:eastAsia="en-US"/>
        </w:rPr>
        <w:t>...</w:t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  <w:lang w:val="en-US" w:eastAsia="en-US"/>
        </w:rPr>
      </w:pPr>
      <w:r>
        <w:rPr>
          <w:rFonts w:cs="Aharoni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  <w:lang w:val="en-US" w:eastAsia="en-US"/>
        </w:rPr>
      </w:pPr>
      <w:r>
        <w:rPr>
          <w:rFonts w:ascii="David" w:hAnsi="David" w:cs="Aharoni"/>
          <w:rtl w:val="true"/>
          <w:lang w:val="en-US" w:eastAsia="en-US"/>
        </w:rPr>
        <w:t>בית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משפט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קמה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הדגיש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את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העובדה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כי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העבירה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של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החזקת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נשק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הפכה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למכה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של</w:t>
      </w:r>
      <w:r>
        <w:rPr>
          <w:rFonts w:ascii="David" w:hAnsi="David" w:eastAsia="David"/>
          <w:rtl w:val="true"/>
          <w:lang w:val="en-US" w:eastAsia="en-US"/>
        </w:rPr>
        <w:t xml:space="preserve">  </w:t>
      </w:r>
      <w:r>
        <w:rPr>
          <w:rFonts w:ascii="David" w:hAnsi="David" w:cs="Aharoni"/>
          <w:rtl w:val="true"/>
          <w:lang w:val="en-US" w:eastAsia="en-US"/>
        </w:rPr>
        <w:t>אזור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הדרום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ואף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צדק</w:t>
      </w:r>
      <w:r>
        <w:rPr>
          <w:rFonts w:cs="Aharoni" w:ascii="David" w:hAnsi="David"/>
          <w:rtl w:val="true"/>
          <w:lang w:val="en-US" w:eastAsia="en-US"/>
        </w:rPr>
        <w:t xml:space="preserve">, </w:t>
      </w:r>
      <w:r>
        <w:rPr>
          <w:rFonts w:ascii="David" w:hAnsi="David" w:cs="Aharoni"/>
          <w:rtl w:val="true"/>
          <w:lang w:val="en-US" w:eastAsia="en-US"/>
        </w:rPr>
        <w:t>כאשר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קבע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שלא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ניתן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להתעלם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מנסיבה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זו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בעת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קביעת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העונש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הראוי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למערער</w:t>
      </w:r>
      <w:r>
        <w:rPr>
          <w:rFonts w:cs="Aharoni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ראו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4673-08-19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מוסא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לפני מספר 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פורסמה הנחיית פרקליט המדינה מס</w:t>
      </w:r>
      <w:r>
        <w:rPr>
          <w:rFonts w:cs="David" w:ascii="David" w:hAnsi="David"/>
          <w:rtl w:val="true"/>
          <w:lang w:val="en-US" w:eastAsia="en-US"/>
        </w:rPr>
        <w:t xml:space="preserve">'  </w:t>
      </w:r>
      <w:r>
        <w:rPr>
          <w:rFonts w:cs="David" w:ascii="David" w:hAnsi="David"/>
          <w:lang w:val="en-US" w:eastAsia="en-US"/>
        </w:rPr>
        <w:t>9.16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מיום ג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אב תשע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ו – </w:t>
      </w:r>
      <w:r>
        <w:rPr>
          <w:rFonts w:cs="David" w:ascii="David" w:hAnsi="David"/>
          <w:lang w:val="en-US" w:eastAsia="en-US"/>
        </w:rPr>
        <w:t>07/08/16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בנוגע למדיניות הענישה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כאשר המדובר בעבירה ראשונה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מבחינת מדרג החומרה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הוצבה החזקה של רובה סער או תת מקלע – ברמה אחת לפני הרמה החמורה ביותר ואילו אחזקת נשק קצר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אקדח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ברמה נמוכה 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לנוכח הפסיקה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שפורטה באותה הנחיה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הונחתה התביעה הכללית לטעון למתחם שינוע בין שנתיים עד ארבע שנות מאסר בפועל בגין כל עבירה בודדת של החזקת רובה או תת מקלע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בין שנה לשלוש שנים בגין אחזקת נשק קצר מסוג אקדח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לריצוי בדרך של 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 ממש בגין אחזקת תחמושת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הצורך בהחמרת הענישה נומק במספר הרב של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פליליות ואם כאלה נגד בטחון המדינה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שנעברו לאחרונה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באמצעות כלי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 הביאו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לעיתים מזומנות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לפגיעה באזרחים בלתי מעורבים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לשם המחשה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המפורט בנתונים שהובאו במסגרת ההנחיה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בשנת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אירעו בישראל </w:t>
      </w:r>
      <w:r>
        <w:rPr>
          <w:rFonts w:cs="David" w:ascii="David" w:hAnsi="David"/>
          <w:lang w:val="en-US" w:eastAsia="en-US"/>
        </w:rPr>
        <w:t>563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אירועים של פיגועים </w:t>
      </w:r>
      <w:r>
        <w:rPr>
          <w:rFonts w:ascii="David" w:hAnsi="David"/>
          <w:u w:val="single"/>
          <w:rtl w:val="true"/>
          <w:lang w:val="en-US" w:eastAsia="en-US"/>
        </w:rPr>
        <w:t>פליליים</w:t>
      </w:r>
      <w:r>
        <w:rPr>
          <w:rFonts w:ascii="David" w:hAnsi="David"/>
          <w:rtl w:val="true"/>
          <w:lang w:val="en-US" w:eastAsia="en-US"/>
        </w:rPr>
        <w:t xml:space="preserve"> באמצעות נשק 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מבלי לקחת בחשבון פיגועים על רקע בטחוני או עבירות שנאה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ריבוי כתבי האישום בגין עבירות אלה בשנים האחרונות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מאשש טענת התביעה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u w:val="single"/>
          <w:rtl w:val="true"/>
          <w:lang w:val="en-US" w:eastAsia="en-US"/>
        </w:rPr>
        <w:t>העבירה הנדונה הפכה ל</w:t>
      </w:r>
      <w:r>
        <w:rPr>
          <w:rFonts w:cs="David" w:ascii="David" w:hAnsi="David"/>
          <w:u w:val="single"/>
          <w:rtl w:val="true"/>
          <w:lang w:val="en-US" w:eastAsia="en-US"/>
        </w:rPr>
        <w:t>"</w:t>
      </w:r>
      <w:r>
        <w:rPr>
          <w:rFonts w:ascii="David" w:hAnsi="David"/>
          <w:u w:val="single"/>
          <w:rtl w:val="true"/>
          <w:lang w:val="en-US" w:eastAsia="en-US"/>
        </w:rPr>
        <w:t>מכת אזור</w:t>
      </w:r>
      <w:r>
        <w:rPr>
          <w:rFonts w:cs="David" w:ascii="David" w:hAnsi="David"/>
          <w:u w:val="single"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חלק מהגורמים 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הנגישות הרבה לכלי 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נפיצות כלי הנשק יוצרת סכנה של ממש לבטחון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המימרה הידועה לפיה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כלי הנשק שהופיע במערכה הראשונה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חוזר להופיע במערכות שלאחר מכן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עוד ראו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לעניין מתחם הענישה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מספר גזרי דין שניתנו לאחרונה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30406-04-16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 עאמר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65912-01-18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 מדעם ואח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גזרי הדין פורסמו במאגרים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u w:val="single"/>
          <w:rtl w:val="true"/>
          <w:lang w:val="en-US" w:eastAsia="en-US"/>
        </w:rPr>
        <w:t>בגזר הדין האחרון – נדון אחד הנאשמים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שהורשע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על פי הודאתו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 xml:space="preserve">בהחזקת אקדח חצי אוטמטי בלבד 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- </w:t>
      </w:r>
      <w:r>
        <w:rPr>
          <w:rFonts w:ascii="David" w:hAnsi="David"/>
          <w:u w:val="single"/>
          <w:rtl w:val="true"/>
          <w:lang w:val="en-US" w:eastAsia="en-US"/>
        </w:rPr>
        <w:t xml:space="preserve">לעונש מאסר בפועל בין </w:t>
      </w:r>
      <w:r>
        <w:rPr>
          <w:rFonts w:cs="David" w:ascii="David" w:hAnsi="David"/>
          <w:u w:val="single"/>
          <w:lang w:val="en-US" w:eastAsia="en-US"/>
        </w:rPr>
        <w:t>18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חודשים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. </w:t>
      </w:r>
      <w:r>
        <w:rPr>
          <w:rFonts w:ascii="David" w:hAnsi="David"/>
          <w:u w:val="single"/>
          <w:rtl w:val="true"/>
          <w:lang w:val="en-US" w:eastAsia="en-US"/>
        </w:rPr>
        <w:t xml:space="preserve">בערעור לבית המשפט המחוזי – הועמד העונש על </w:t>
      </w:r>
      <w:r>
        <w:rPr>
          <w:rFonts w:cs="David" w:ascii="David" w:hAnsi="David"/>
          <w:u w:val="single"/>
          <w:lang w:val="en-US" w:eastAsia="en-US"/>
        </w:rPr>
        <w:t>14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23083-03-19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מדע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ascii="David" w:hAnsi="David"/>
          <w:b/>
          <w:b/>
          <w:bCs/>
          <w:rtl w:val="true"/>
          <w:lang w:val="en-US" w:eastAsia="en-US"/>
        </w:rPr>
        <w:t>ם ואח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b/>
          <w:bCs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פורסם במאגרים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 xml:space="preserve">– </w:t>
      </w:r>
      <w:r>
        <w:rPr>
          <w:rFonts w:cs="David" w:ascii="David" w:hAnsi="David"/>
          <w:lang w:val="en-US" w:eastAsia="en-US"/>
        </w:rPr>
        <w:t>17.07.19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ודוק</w:t>
      </w:r>
      <w:r>
        <w:rPr>
          <w:rFonts w:cs="David" w:ascii="David" w:hAnsi="David"/>
          <w:rtl w:val="true"/>
          <w:lang w:val="en-US" w:eastAsia="en-US"/>
        </w:rPr>
        <w:t xml:space="preserve">': </w:t>
      </w:r>
      <w:r>
        <w:rPr>
          <w:rFonts w:ascii="David" w:hAnsi="David"/>
          <w:u w:val="single"/>
          <w:rtl w:val="true"/>
          <w:lang w:val="en-US" w:eastAsia="en-US"/>
        </w:rPr>
        <w:t xml:space="preserve">באותו מקרה 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הוחזק הנשק בתוך בית ולא בתוך רכב – כשהוא מוכן לשימוש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לאור כל 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מוצא בית המשפט לקבוע מתחם 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בכל הנוגע לאחזקת נשק חם קצר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מסוג אקדח – חצי אוטומטי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שהוא מוחזק בלווית תחמושת מתאימה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במחסנית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מוכן לשימוש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בתוך כלי רכב – כך שינוע בין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אם תימשך העליה במספר כתבי האישום המוגשים בגין עבירה 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יתכן שנכון יהיה לדון גם בהחמרה נוספת של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המבוקש על ידי התביעה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קביעת הענישה הספציפית במסגרת המתחם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לחובת הנאשם דנן אין הרשעות קודמות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ניהל אורח חיים נורמטיבי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בית המשפט לקח בחשבון גם את התנדבותו לשירות צבאי וכן היותו אב למשפחה ומטופל בילדים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לרבות שני ילדים בעלי צרכים מיוחדים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מנגד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כפר באשמה ואף ניהל ההליך באופן שהכביד על המערכת השיפוטית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הרבה מעבר למקובל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כמובן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אין בכך כדי להביא להחמרה כלשהי בענישה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בנסיבות אלה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אין הנאשם זכאי להקלה של מי שנטל אחריות על 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שונה עניינו מהנאשם בתיק </w:t>
      </w:r>
      <w:r>
        <w:rPr>
          <w:rFonts w:cs="David" w:ascii="David" w:hAnsi="David"/>
          <w:lang w:val="en-US" w:eastAsia="en-US"/>
        </w:rPr>
        <w:t>47445-08-17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נגד גבועה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נטל אחריות על מעשיו ואף היה מורשה לנשיאת כלי נשק ארגוני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כמו גם ניתנה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בעניינו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המלצה שיקומית – טיפולית מטעם שירות המבחן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לעניינו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עתרה ההגנה להפנות הנאשם לשירות המבחן במועד ואף לא בחלוף ארכה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שניתנה לה לשקול עמדתה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אלא בשלב מאוחר מאוד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בפתח שמיעת פרשת העונש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כשברור היה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עתירה זו לא תוכל להתקבל</w:t>
      </w:r>
      <w:r>
        <w:rPr>
          <w:rFonts w:cs="David" w:ascii="David" w:hAnsi="David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ודוק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גם לגוף העניין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היה מקום לעתירה כזאת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אין המדובר במי שהודה ונטל אחריות על מעשיו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העובדה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הנאשם מוכר כראש פלג במשפחתו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המונה לא פחות מ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חברי השבט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 עסקים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המעסיק עובדים וכאדם מכובד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העוסק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 היתר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בפתרון סכסוכים ובפעילות ציבורית – אינה בגדר נסיבה לקולה במקרה 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ההיפך הוא הנכון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עיני הציבור ועיני בני משפחתו המורחבת של הנאשם – נשואות אליו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אם יקל בית המשפט בעונשו של נאשם כזה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שהוא אדם נשוא פנים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בוגר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מנוסה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 שיקול דעת – מה יאמרו אזובי הקיר</w:t>
      </w:r>
      <w:r>
        <w:rPr>
          <w:rFonts w:cs="David" w:ascii="David" w:hAnsi="David"/>
          <w:rtl w:val="true"/>
          <w:lang w:val="en-US" w:eastAsia="en-US"/>
        </w:rPr>
        <w:t>?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אשר לבקשת ההגנה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לחרוג ממתחם הענישה מטעמי שיקום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כבר נאמר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פעם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שיקום איננו בגדר מילת קסם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תצדיק סטיה לקולה ממתחם הענישה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בכל מקרה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הראיות שהוצגו לעניין העונש אינן מלמדות על בעיה כלשהי ממנה סובל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המצריכה שיקומו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ההיפך הוא הנכון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הנאשם גדל במשפחה נורמטיבית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מצבו הכלכלי שפיר ביותר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אף עלה מהראיות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מנהל עסקים שונים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מחזיק בבעלותו כלי רכב בשווי יקר מאוד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לרבות הרכב שנתפס בפרשה זו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r>
        <w:rPr>
          <w:rFonts w:ascii="David" w:hAnsi="David"/>
          <w:rtl w:val="true"/>
          <w:lang w:val="en-US" w:eastAsia="en-US"/>
        </w:rPr>
        <w:t>אין עדות להתמכרות כלשהי לחמרים משני תודעה כגון סמים או אלכוהול או למצב מצוקה אחר הדורש טיפול או שיקום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גם מחוות הדעת הפרטית נ</w:t>
      </w:r>
      <w:r>
        <w:rPr>
          <w:rFonts w:cs="David" w:ascii="David" w:hAnsi="David"/>
          <w:rtl w:val="true"/>
          <w:lang w:val="en-US" w:eastAsia="en-US"/>
        </w:rPr>
        <w:t>/,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שהוכנה לבקשת הנאשם – אין עולים נתונים חריגים המצריכים שיקום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האמור בנוגע לחשש להסגת מצבו אחור ולפגיעה כלכלית בעסקיו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יידון למאסר – נכון לגבי כל 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המפרנס משפחה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לאור 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אין בית המשפט מוצא עילה כלשהי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לחרוג ממתחם הענישה במקרה 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עם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לנוכח השיקולים לקולה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ובעיקר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שירותו הצבאי של הנאשם והיעדר הרשעות קודמות – יושת עונש על הרף הנמוך ביותר של מתחם הענישה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כמובן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יושת על הנאשם עונש צופה פני עתיד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לבל יהין להחזיק שוב בכלי נשק כלשהו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חם או קר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כן יושת על הנאשם עיצום כספי מרתיע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בהיקף דומה לזה שהושת במקרים שהובאו 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 היתר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לאור השווי הכלכלי של כלי הנשק וכחלק מתמהיל הענישה הכולל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לעתירת התביעה לחלט רכבו של הנאשם – משלא הובאו נתונים מדויקים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בנוגע לשווי הרכב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על פי הנטען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מאות אלפי ₪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ועל מנת למנוע פגיעה בלתי מידתית בנאשם – תהיה התביעה רשאית לעתור בנפרד לעניין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צירוף הנתונים הרלוונטיים והחלטה תתקבל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כמובן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שהעתירה תועבר להתייחסות ההגנה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לאור כל 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גוזר בית המשפט על הנאשם את העונשים הבאים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 xml:space="preserve">.        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בניכוי ימי מעצרו בהתאם לרישומי שב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ס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 xml:space="preserve">.        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 מאסר על תנאי למשך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 מהיום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והתנאי – שהנאשם לא יעבור עבירה מסוג פשע בניגוד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ז – 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.         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 מאסר על תנאי למשך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 מהיום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והתנאי – שהנאשם לא יעבור עבירה מסוג עוון בניגוד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ז – 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;  </w:t>
      </w:r>
      <w:r>
        <w:rPr>
          <w:rFonts w:ascii="David" w:hAnsi="David"/>
          <w:rtl w:val="true"/>
          <w:lang w:val="en-US" w:eastAsia="en-US"/>
        </w:rPr>
        <w:t xml:space="preserve">או עבירה בניגוד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186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לאותו חוק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  <w:lang w:val="en-US" w:eastAsia="en-US"/>
        </w:rPr>
        <w:t>ד</w:t>
      </w:r>
      <w:r>
        <w:rPr>
          <w:rFonts w:cs="David" w:ascii="David" w:hAnsi="David"/>
          <w:rtl w:val="true"/>
          <w:lang w:val="en-US" w:eastAsia="en-US"/>
        </w:rPr>
        <w:t xml:space="preserve">.         </w:t>
      </w:r>
      <w:r>
        <w:rPr>
          <w:rFonts w:ascii="David" w:hAnsi="David"/>
          <w:rtl w:val="true"/>
          <w:lang w:val="en-US" w:eastAsia="en-US"/>
        </w:rPr>
        <w:t xml:space="preserve">קנס בסך </w:t>
      </w:r>
      <w:r>
        <w:rPr>
          <w:rFonts w:cs="David" w:ascii="David" w:hAnsi="David"/>
          <w:lang w:val="en-US" w:eastAsia="en-US"/>
        </w:rPr>
        <w:t>10,000</w:t>
      </w:r>
      <w:r>
        <w:rPr>
          <w:rFonts w:cs="David" w:ascii="David" w:hAnsi="David"/>
          <w:rtl w:val="true"/>
          <w:lang w:val="en-US" w:eastAsia="en-US"/>
        </w:rPr>
        <w:t xml:space="preserve"> ₪ </w:t>
      </w:r>
      <w:r>
        <w:rPr>
          <w:rFonts w:ascii="David" w:hAnsi="David"/>
          <w:rtl w:val="true"/>
          <w:lang w:val="en-US" w:eastAsia="en-US"/>
        </w:rPr>
        <w:t xml:space="preserve">או </w:t>
      </w:r>
      <w:r>
        <w:rPr>
          <w:rFonts w:cs="David" w:ascii="David" w:hAnsi="David"/>
          <w:lang w:val="en-US" w:eastAsia="en-US"/>
        </w:rPr>
        <w:t>90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 מאסר תמורתו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הקנס ישולם 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שיעורים שווים ורצופים החל מיום </w:t>
      </w:r>
      <w:r>
        <w:rPr>
          <w:rFonts w:cs="David" w:ascii="David" w:hAnsi="David"/>
          <w:lang w:val="en-US" w:eastAsia="en-US"/>
        </w:rPr>
        <w:t>01.03.20</w:t>
      </w:r>
      <w:r>
        <w:rPr>
          <w:rFonts w:cs="David"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 xml:space="preserve">ובכל </w:t>
      </w:r>
      <w:r>
        <w:rPr>
          <w:rFonts w:cs="David" w:ascii="David" w:hAnsi="David"/>
          <w:lang w:val="en-US" w:eastAsia="en-US"/>
        </w:rPr>
        <w:t>01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לחודש שלאחר מכן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 יועבר אחד התשלומים במועד – תעמוד היתרה לפירעון מידי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יתייצב לריצוי עונשו כעת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הודעה זכות הערעור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0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טבת 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ינואר </w:t>
      </w:r>
      <w:r>
        <w:rPr>
          <w:rFonts w:cs="Arial" w:ascii="Arial" w:hAnsi="Arial"/>
          <w:lang w:val="en-US" w:eastAsia="en-US"/>
        </w:rPr>
        <w:t>2020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0"/>
    </w:p>
    <w:p>
      <w:pPr>
        <w:pStyle w:val="Normal"/>
        <w:spacing w:lineRule="auto" w:line="360"/>
        <w:ind w:firstLine="720" w:start="360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Normal"/>
        <w:spacing w:lineRule="auto" w:line="360"/>
        <w:ind w:firstLine="720" w:start="360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color w:val="0000FF"/>
          <w:u w:val="single"/>
          <w:lang w:val="en-US" w:eastAsia="en-US"/>
        </w:rPr>
      </w:pP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val="en-US" w:eastAsia="en-US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19417-11-16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וספי בן מחמד אבו אלקיעאן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LineNumber">
    <w:name w:val="line number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13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2935305" TargetMode="External"/><Relationship Id="rId12" Type="http://schemas.openxmlformats.org/officeDocument/2006/relationships/hyperlink" Target="http://www.nevo.co.il/case/16913730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yperlink" Target="http://www.nevo.co.il/case/22112345" TargetMode="External"/><Relationship Id="rId17" Type="http://schemas.openxmlformats.org/officeDocument/2006/relationships/hyperlink" Target="http://www.nevo.co.il/case/22001830" TargetMode="External"/><Relationship Id="rId18" Type="http://schemas.openxmlformats.org/officeDocument/2006/relationships/hyperlink" Target="http://www.nevo.co.il/case/22607175" TargetMode="External"/><Relationship Id="rId19" Type="http://schemas.openxmlformats.org/officeDocument/2006/relationships/hyperlink" Target="http://www.nevo.co.il/case/7791493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1778276" TargetMode="External"/><Relationship Id="rId23" Type="http://schemas.openxmlformats.org/officeDocument/2006/relationships/hyperlink" Target="http://www.nevo.co.il/case/25623200" TargetMode="External"/><Relationship Id="rId24" Type="http://schemas.openxmlformats.org/officeDocument/2006/relationships/hyperlink" Target="http://www.nevo.co.il/case/25923515" TargetMode="External"/><Relationship Id="rId25" Type="http://schemas.openxmlformats.org/officeDocument/2006/relationships/hyperlink" Target="http://www.nevo.co.il/case/21303448" TargetMode="External"/><Relationship Id="rId26" Type="http://schemas.openxmlformats.org/officeDocument/2006/relationships/hyperlink" Target="http://www.nevo.co.il/case/23588441" TargetMode="External"/><Relationship Id="rId27" Type="http://schemas.openxmlformats.org/officeDocument/2006/relationships/hyperlink" Target="http://www.nevo.co.il/case/25526059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86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2020-01-29T15:52:00Z</dcterms:created>
  <dc:creator> </dc:creator>
  <dc:description/>
  <cp:keywords/>
  <dc:language>en-IL</dc:language>
  <cp:lastModifiedBy>orly</cp:lastModifiedBy>
  <dcterms:modified xsi:type="dcterms:W3CDTF">2020-01-29T15:52:00Z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וספי בן מחמד אבו אלקיעאן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22935305;7791493:2;5852404;6000182;22112345;22001830;22607175;21778276;25623200;25923515;21303448;23588441;25526059</vt:lpwstr>
  </property>
  <property fmtid="{D5CDD505-2E9C-101B-9397-08002B2CF9AE}" pid="9" name="CITY">
    <vt:lpwstr>ב"ש</vt:lpwstr>
  </property>
  <property fmtid="{D5CDD505-2E9C-101B-9397-08002B2CF9AE}" pid="10" name="DATE">
    <vt:lpwstr>20200115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70301/144.a;144.b;144:2;186</vt:lpwstr>
  </property>
  <property fmtid="{D5CDD505-2E9C-101B-9397-08002B2CF9AE}" pid="15" name="LAWYER">
    <vt:lpwstr>שאול ציון;דרויש נאשף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שירי</vt:lpwstr>
  </property>
  <property fmtid="{D5CDD505-2E9C-101B-9397-08002B2CF9AE}" pid="22" name="NEWPARTA">
    <vt:lpwstr>19417</vt:lpwstr>
  </property>
  <property fmtid="{D5CDD505-2E9C-101B-9397-08002B2CF9AE}" pid="23" name="NEWPARTB">
    <vt:lpwstr>11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1446;1443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13800;8868</vt:lpwstr>
  </property>
  <property fmtid="{D5CDD505-2E9C-101B-9397-08002B2CF9AE}" pid="59" name="PADIDATE">
    <vt:lpwstr>20200130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380120200115</vt:lpwstr>
  </property>
  <property fmtid="{D5CDD505-2E9C-101B-9397-08002B2CF9AE}" pid="69" name="TYPE_N_DATE">
    <vt:lpwstr>38020200115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