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9"/>
        <w:gridCol w:w="3662"/>
      </w:tblGrid>
      <w:tr>
        <w:trPr>
          <w:trHeight w:val="418" w:hRule="exact"/>
        </w:trPr>
        <w:tc>
          <w:tcPr>
            <w:tcW w:w="8721" w:type="dxa"/>
            <w:gridSpan w:val="2"/>
            <w:tcBorders/>
          </w:tcPr>
          <w:p>
            <w:pPr>
              <w:pStyle w:val="Header"/>
              <w:ind w:end="0"/>
              <w:jc w:val="center"/>
              <w:rPr>
                <w:rFonts w:ascii="Tahoma" w:hAnsi="Tahoma" w:cs="Tahoma"/>
                <w:color w:val="000080"/>
              </w:rPr>
            </w:pPr>
            <w:bookmarkStart w:id="0" w:name="FirstLawyer"/>
            <w:bookmarkEnd w:id="0"/>
            <w:r>
              <w:rPr>
                <w:rFonts w:ascii="Tahoma" w:hAnsi="Tahoma" w:cs="Tahoma"/>
                <w:b/>
                <w:b/>
                <w:bCs/>
                <w:color w:val="000080"/>
                <w:rtl w:val="true"/>
              </w:rPr>
              <w:t>בית המשפט המחוזי בחיפה</w:t>
            </w:r>
          </w:p>
        </w:tc>
      </w:tr>
      <w:tr>
        <w:trPr>
          <w:trHeight w:val="337" w:hRule="atLeast"/>
        </w:trPr>
        <w:tc>
          <w:tcPr>
            <w:tcW w:w="5059" w:type="dxa"/>
            <w:tcBorders/>
          </w:tcPr>
          <w:p>
            <w:pPr>
              <w:pStyle w:val="Normal"/>
              <w:ind w:end="0"/>
              <w:jc w:val="start"/>
              <w:rPr/>
            </w:pP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פ </w:t>
            </w:r>
            <w:r>
              <w:rPr>
                <w:rFonts w:cs="David" w:ascii="David" w:hAnsi="David"/>
                <w:b/>
                <w:bCs/>
                <w:sz w:val="26"/>
                <w:szCs w:val="26"/>
              </w:rPr>
              <w:t>19438-03-18</w:t>
            </w:r>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אמארה</w:t>
            </w:r>
            <w:r>
              <w:rPr>
                <w:rFonts w:ascii="David" w:hAnsi="David"/>
                <w:b/>
                <w:b/>
                <w:bCs/>
                <w:sz w:val="26"/>
                <w:sz w:val="26"/>
                <w:szCs w:val="26"/>
                <w:rtl w:val="true"/>
              </w:rPr>
              <w:t xml:space="preserve">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r>
          </w:p>
          <w:p>
            <w:pPr>
              <w:pStyle w:val="Header"/>
              <w:ind w:end="0"/>
              <w:jc w:val="start"/>
              <w:rPr>
                <w:rFonts w:ascii="David" w:hAnsi="David" w:cs="David"/>
                <w:b/>
                <w:bCs/>
                <w:sz w:val="26"/>
                <w:szCs w:val="26"/>
              </w:rPr>
            </w:pPr>
            <w:r>
              <w:rPr>
                <w:rFonts w:cs="David" w:ascii="David" w:hAnsi="David"/>
                <w:b/>
                <w:bCs/>
                <w:sz w:val="26"/>
                <w:szCs w:val="26"/>
                <w:rtl w:val="true"/>
              </w:rPr>
            </w:r>
          </w:p>
        </w:tc>
        <w:tc>
          <w:tcPr>
            <w:tcW w:w="3662" w:type="dxa"/>
            <w:tcBorders/>
          </w:tcPr>
          <w:p>
            <w:pPr>
              <w:pStyle w:val="Header"/>
              <w:snapToGrid w:val="false"/>
              <w:ind w:end="0"/>
              <w:jc w:val="end"/>
              <w:rPr>
                <w:rFonts w:ascii="David" w:hAnsi="David" w:cs="David"/>
                <w:b/>
                <w:bCs/>
                <w:sz w:val="26"/>
                <w:szCs w:val="26"/>
              </w:rPr>
            </w:pPr>
            <w:r>
              <w:rPr>
                <w:rFonts w:cs="David" w:ascii="David" w:hAnsi="David"/>
                <w:b/>
                <w:bCs/>
                <w:sz w:val="26"/>
                <w:szCs w:val="26"/>
                <w:rtl w:val="true"/>
              </w:rPr>
            </w:r>
          </w:p>
        </w:tc>
      </w:tr>
    </w:tbl>
    <w:p>
      <w:pPr>
        <w:pStyle w:val="Header"/>
        <w:ind w:end="0"/>
        <w:jc w:val="start"/>
        <w:rPr>
          <w:rFonts w:ascii="David" w:hAnsi="David" w:eastAsia="David" w:cs="David"/>
          <w:b/>
          <w:bCs/>
          <w:sz w:val="26"/>
          <w:szCs w:val="26"/>
        </w:rPr>
      </w:pPr>
      <w:r>
        <w:rPr>
          <w:rFonts w:eastAsia="David" w:cs="David" w:ascii="David" w:hAnsi="David"/>
          <w:b/>
          <w:bCs/>
          <w:sz w:val="26"/>
          <w:szCs w:val="26"/>
          <w:rtl w:val="true"/>
        </w:rPr>
        <w:t xml:space="preserve"> </w:t>
      </w:r>
    </w:p>
    <w:p>
      <w:pPr>
        <w:pStyle w:val="Normal"/>
        <w:spacing w:lineRule="auto" w:line="360"/>
        <w:ind w:end="0"/>
        <w:jc w:val="start"/>
        <w:rPr>
          <w:rFonts w:ascii="David" w:hAnsi="David" w:cs="David"/>
          <w:b/>
          <w:bCs/>
          <w:sz w:val="26"/>
          <w:szCs w:val="26"/>
        </w:rPr>
      </w:pPr>
      <w:bookmarkStart w:id="1" w:name="FirstAppellant"/>
      <w:bookmarkEnd w:id="1"/>
      <w:r>
        <w:rPr>
          <w:rFonts w:ascii="David" w:hAnsi="David"/>
          <w:b/>
          <w:b/>
          <w:bCs/>
          <w:sz w:val="26"/>
          <w:sz w:val="26"/>
          <w:szCs w:val="26"/>
          <w:rtl w:val="true"/>
        </w:rPr>
        <w:t>לפני כבוד השופט דניאל פיש</w:t>
      </w:r>
      <w:r>
        <w:rPr>
          <w:rStyle w:val="TimesNewRomanTimesNewRoman"/>
          <w:rFonts w:ascii="David" w:hAnsi="David"/>
          <w:b w:val="false"/>
          <w:b w:val="false"/>
          <w:bCs w:val="false"/>
          <w:rtl w:val="true"/>
        </w:rPr>
        <w:t xml:space="preserve"> </w:t>
      </w:r>
    </w:p>
    <w:p>
      <w:pPr>
        <w:pStyle w:val="Normal"/>
        <w:ind w:start="26" w:end="0"/>
        <w:jc w:val="start"/>
        <w:rPr>
          <w:rFonts w:ascii="David" w:hAnsi="David" w:cs="David"/>
          <w:b/>
          <w:bCs/>
          <w:sz w:val="26"/>
          <w:szCs w:val="26"/>
        </w:rPr>
      </w:pPr>
      <w:r>
        <w:rPr>
          <w:rFonts w:cs="David" w:ascii="David" w:hAnsi="David"/>
          <w:b/>
          <w:bCs/>
          <w:sz w:val="26"/>
          <w:szCs w:val="26"/>
          <w:rtl w:val="true"/>
        </w:rPr>
      </w:r>
    </w:p>
    <w:p>
      <w:pPr>
        <w:pStyle w:val="Normal"/>
        <w:ind w:hanging="2880" w:start="2880" w:end="0"/>
        <w:jc w:val="start"/>
        <w:rPr>
          <w:rFonts w:ascii="David" w:hAnsi="David" w:cs="David"/>
          <w:b/>
          <w:bCs/>
          <w:sz w:val="26"/>
          <w:szCs w:val="26"/>
        </w:rPr>
      </w:pPr>
      <w:r>
        <w:rPr>
          <w:rFonts w:ascii="David" w:hAnsi="David"/>
          <w:b/>
          <w:b/>
          <w:bCs/>
          <w:sz w:val="26"/>
          <w:sz w:val="26"/>
          <w:szCs w:val="26"/>
          <w:rtl w:val="true"/>
        </w:rPr>
        <w:t>המאשימה</w:t>
      </w:r>
      <w:r>
        <w:rPr>
          <w:rFonts w:cs="David" w:ascii="David" w:hAnsi="David"/>
          <w:b/>
          <w:bCs/>
          <w:sz w:val="26"/>
          <w:szCs w:val="26"/>
          <w:rtl w:val="true"/>
        </w:rPr>
        <w:tab/>
      </w:r>
      <w:r>
        <w:rPr>
          <w:rFonts w:cs="David" w:ascii="David" w:hAnsi="David"/>
          <w:b/>
          <w:bCs/>
          <w:sz w:val="26"/>
          <w:szCs w:val="26"/>
          <w:rtl w:val="true"/>
        </w:rPr>
        <w:t xml:space="preserve"> </w:t>
      </w:r>
      <w:r>
        <w:rPr>
          <w:rFonts w:ascii="David" w:hAnsi="David"/>
          <w:b/>
          <w:b/>
          <w:bCs/>
          <w:sz w:val="26"/>
          <w:sz w:val="26"/>
          <w:szCs w:val="26"/>
          <w:rtl w:val="true"/>
        </w:rPr>
        <w:t>מדינת ישראל</w:t>
      </w:r>
      <w:r>
        <w:rPr>
          <w:rFonts w:cs="David" w:ascii="David" w:hAnsi="David"/>
          <w:b/>
          <w:bCs/>
          <w:sz w:val="26"/>
          <w:szCs w:val="26"/>
          <w:rtl w:val="true"/>
        </w:rPr>
        <w:br/>
      </w: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ד בני פסקל</w:t>
      </w:r>
    </w:p>
    <w:p>
      <w:pPr>
        <w:pStyle w:val="Normal"/>
        <w:ind w:start="2880" w:end="0"/>
        <w:jc w:val="start"/>
        <w:rPr>
          <w:rFonts w:ascii="David" w:hAnsi="David" w:cs="David"/>
          <w:b/>
          <w:bCs/>
          <w:sz w:val="26"/>
          <w:szCs w:val="26"/>
        </w:rPr>
      </w:pPr>
      <w:r>
        <w:rPr>
          <w:rFonts w:ascii="David" w:hAnsi="David"/>
          <w:b/>
          <w:b/>
          <w:bCs/>
          <w:sz w:val="26"/>
          <w:sz w:val="26"/>
          <w:szCs w:val="26"/>
          <w:rtl w:val="true"/>
        </w:rPr>
        <w:t>פרקליטות המדינה מחוז חיפה</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bookmarkStart w:id="2" w:name="FirstAppellant"/>
      <w:bookmarkEnd w:id="2"/>
      <w:r>
        <w:rPr>
          <w:rFonts w:ascii="David" w:hAnsi="David"/>
          <w:b/>
          <w:b/>
          <w:bCs/>
          <w:sz w:val="26"/>
          <w:sz w:val="26"/>
          <w:szCs w:val="26"/>
          <w:rtl w:val="true"/>
        </w:rPr>
        <w:t>נגד</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ascii="David" w:hAnsi="David"/>
          <w:b/>
          <w:b/>
          <w:bCs/>
          <w:sz w:val="26"/>
          <w:sz w:val="26"/>
          <w:szCs w:val="26"/>
          <w:rtl w:val="true"/>
        </w:rPr>
        <w:t>הנאשם</w:t>
      </w:r>
      <w:r>
        <w:rPr>
          <w:rFonts w:cs="David" w:ascii="David" w:hAnsi="David"/>
          <w:b/>
          <w:bCs/>
          <w:sz w:val="26"/>
          <w:szCs w:val="26"/>
          <w:rtl w:val="true"/>
        </w:rPr>
        <w:tab/>
        <w:tab/>
        <w:tab/>
        <w:tab/>
      </w:r>
      <w:r>
        <w:rPr>
          <w:rFonts w:ascii="David" w:hAnsi="David"/>
          <w:b/>
          <w:b/>
          <w:bCs/>
          <w:sz w:val="26"/>
          <w:sz w:val="26"/>
          <w:szCs w:val="26"/>
          <w:rtl w:val="true"/>
        </w:rPr>
        <w:t xml:space="preserve">מוחמד אמארה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ז</w:t>
      </w:r>
      <w:r>
        <w:rPr>
          <w:rFonts w:cs="David" w:ascii="David" w:hAnsi="David"/>
          <w:b/>
          <w:bCs/>
          <w:sz w:val="26"/>
          <w:szCs w:val="26"/>
          <w:rtl w:val="true"/>
        </w:rPr>
        <w:t xml:space="preserve">.  </w:t>
      </w:r>
      <w:r>
        <w:rPr>
          <w:rFonts w:cs="David" w:ascii="David" w:hAnsi="David"/>
          <w:b/>
          <w:bCs/>
          <w:sz w:val="26"/>
          <w:szCs w:val="26"/>
        </w:rPr>
        <w:t>xxxxxxxxxx</w:t>
      </w:r>
    </w:p>
    <w:p>
      <w:pPr>
        <w:pStyle w:val="Normal"/>
        <w:ind w:firstLine="720" w:start="2160" w:end="0"/>
        <w:jc w:val="start"/>
        <w:rPr>
          <w:rFonts w:ascii="David" w:hAnsi="David" w:cs="David"/>
          <w:b/>
          <w:bCs/>
          <w:sz w:val="26"/>
          <w:szCs w:val="26"/>
        </w:rPr>
      </w:pPr>
      <w:r>
        <w:rPr>
          <w:rFonts w:ascii="David" w:hAnsi="David"/>
          <w:b/>
          <w:b/>
          <w:bCs/>
          <w:sz w:val="26"/>
          <w:sz w:val="26"/>
          <w:szCs w:val="26"/>
          <w:rtl w:val="true"/>
        </w:rPr>
        <w:t>ע</w:t>
      </w:r>
      <w:r>
        <w:rPr>
          <w:rFonts w:cs="David" w:ascii="David" w:hAnsi="David"/>
          <w:b/>
          <w:bCs/>
          <w:sz w:val="26"/>
          <w:szCs w:val="26"/>
          <w:rtl w:val="true"/>
        </w:rPr>
        <w:t>"</w:t>
      </w:r>
      <w:r>
        <w:rPr>
          <w:rFonts w:ascii="David" w:hAnsi="David"/>
          <w:b/>
          <w:b/>
          <w:bCs/>
          <w:sz w:val="26"/>
          <w:sz w:val="26"/>
          <w:szCs w:val="26"/>
          <w:rtl w:val="true"/>
        </w:rPr>
        <w:t>י ב</w:t>
      </w:r>
      <w:r>
        <w:rPr>
          <w:rFonts w:cs="David" w:ascii="David" w:hAnsi="David"/>
          <w:b/>
          <w:bCs/>
          <w:sz w:val="26"/>
          <w:szCs w:val="26"/>
          <w:rtl w:val="true"/>
        </w:rPr>
        <w:t>"</w:t>
      </w:r>
      <w:r>
        <w:rPr>
          <w:rFonts w:ascii="David" w:hAnsi="David"/>
          <w:b/>
          <w:b/>
          <w:bCs/>
          <w:sz w:val="26"/>
          <w:sz w:val="26"/>
          <w:szCs w:val="26"/>
          <w:rtl w:val="true"/>
        </w:rPr>
        <w:t>כ עו</w:t>
      </w:r>
      <w:r>
        <w:rPr>
          <w:rFonts w:cs="David" w:ascii="David" w:hAnsi="David"/>
          <w:b/>
          <w:bCs/>
          <w:sz w:val="26"/>
          <w:szCs w:val="26"/>
          <w:rtl w:val="true"/>
        </w:rPr>
        <w:t>"</w:t>
      </w:r>
      <w:r>
        <w:rPr>
          <w:rFonts w:ascii="David" w:hAnsi="David"/>
          <w:b/>
          <w:b/>
          <w:bCs/>
          <w:sz w:val="26"/>
          <w:sz w:val="26"/>
          <w:szCs w:val="26"/>
          <w:rtl w:val="true"/>
        </w:rPr>
        <w:t xml:space="preserve">ד פארס בריק </w:t>
      </w:r>
      <w:r>
        <w:rPr>
          <w:rFonts w:cs="David" w:ascii="David" w:hAnsi="David"/>
          <w:b/>
          <w:bCs/>
          <w:sz w:val="26"/>
          <w:szCs w:val="26"/>
          <w:rtl w:val="true"/>
        </w:rPr>
        <w:t>[</w:t>
      </w:r>
      <w:r>
        <w:rPr>
          <w:rFonts w:ascii="David" w:hAnsi="David"/>
          <w:b/>
          <w:b/>
          <w:bCs/>
          <w:sz w:val="26"/>
          <w:sz w:val="26"/>
          <w:szCs w:val="26"/>
          <w:rtl w:val="true"/>
        </w:rPr>
        <w:t>סנגוריה ציבורית</w:t>
      </w:r>
      <w:r>
        <w:rPr>
          <w:rFonts w:cs="David" w:ascii="David" w:hAnsi="David"/>
          <w:b/>
          <w:bCs/>
          <w:sz w:val="26"/>
          <w:szCs w:val="26"/>
          <w:rtl w:val="true"/>
        </w:rPr>
        <w:t>]</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spacing w:lineRule="exact" w:line="240" w:before="120" w:after="120"/>
        <w:ind w:hanging="283" w:start="283" w:end="0"/>
        <w:jc w:val="both"/>
        <w:rPr>
          <w:rFonts w:ascii="FrankRuehl" w:hAnsi="FrankRuehl" w:cs="FrankRuehl"/>
          <w:b/>
          <w:bCs/>
          <w:sz w:val="26"/>
          <w:szCs w:val="26"/>
        </w:rPr>
      </w:pPr>
      <w:r>
        <w:rPr>
          <w:rFonts w:cs="FrankRuehl" w:ascii="FrankRuehl" w:hAnsi="FrankRuehl"/>
          <w:b/>
          <w:bCs/>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color w:val="0000FF"/>
          </w:rPr>
          <w:t>40</w:t>
        </w:r>
      </w:hyperlink>
      <w:r>
        <w:rPr>
          <w:rFonts w:cs="FrankRuehl" w:ascii="FrankRuehl" w:hAnsi="FrankRuehl"/>
          <w:color w:val="0000FF"/>
          <w:rtl w:val="true"/>
        </w:rPr>
        <w:t>(</w:t>
      </w:r>
      <w:r>
        <w:rPr>
          <w:rFonts w:ascii="FrankRuehl" w:hAnsi="FrankRuehl" w:cs="FrankRuehl"/>
          <w:color w:val="0000FF"/>
          <w:rtl w:val="true"/>
        </w:rPr>
        <w:t>ה</w:t>
      </w:r>
      <w:r>
        <w:rPr>
          <w:rFonts w:cs="FrankRuehl" w:ascii="FrankRuehl" w:hAnsi="FrankRuehl"/>
          <w:color w:val="0000FF"/>
          <w:rtl w:val="true"/>
        </w:rPr>
        <w:t xml:space="preserve">), </w:t>
      </w:r>
      <w:hyperlink r:id="rId4">
        <w:r>
          <w:rPr>
            <w:rStyle w:val="Hyperlink"/>
            <w:rFonts w:cs="FrankRuehl" w:ascii="FrankRuehl" w:hAnsi="FrankRuehl"/>
            <w:color w:val="0000FF"/>
          </w:rPr>
          <w:t>40</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hyperlink>
      <w:r>
        <w:rPr>
          <w:rFonts w:cs="FrankRuehl" w:ascii="FrankRuehl" w:hAnsi="FrankRuehl"/>
          <w:color w:val="0000FF"/>
          <w:rtl w:val="true"/>
        </w:rPr>
        <w:t xml:space="preserve">, </w:t>
      </w:r>
      <w:hyperlink r:id="rId5">
        <w:r>
          <w:rPr>
            <w:rStyle w:val="Hyperlink"/>
            <w:rFonts w:cs="FrankRuehl" w:ascii="FrankRuehl" w:hAnsi="FrankRuehl"/>
            <w:color w:val="0000FF"/>
          </w:rPr>
          <w:t>40</w:t>
        </w:r>
        <w:r>
          <w:rPr>
            <w:rStyle w:val="Hyperlink"/>
            <w:rFonts w:cs="FrankRuehl" w:ascii="FrankRuehl" w:hAnsi="FrankRuehl"/>
            <w:color w:val="0000FF"/>
            <w:rtl w:val="true"/>
          </w:rPr>
          <w:t>.</w:t>
        </w:r>
        <w:r>
          <w:rPr>
            <w:rStyle w:val="Hyperlink"/>
            <w:rFonts w:ascii="FrankRuehl" w:hAnsi="FrankRuehl" w:cs="FrankRuehl"/>
            <w:color w:val="0000FF"/>
            <w:rtl w:val="true"/>
          </w:rPr>
          <w:t>יא</w:t>
        </w:r>
      </w:hyperlink>
      <w:r>
        <w:rPr>
          <w:rFonts w:cs="FrankRuehl" w:ascii="FrankRuehl" w:hAnsi="FrankRuehl"/>
          <w:color w:val="0000FF"/>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ה</w:t>
        </w:r>
      </w:hyperlink>
      <w:r>
        <w:rPr>
          <w:rFonts w:cs="FrankRuehl" w:ascii="FrankRuehl" w:hAnsi="FrankRuehl"/>
          <w:color w:val="0000FF"/>
          <w:rtl w:val="true"/>
        </w:rPr>
        <w:t xml:space="preserve">, </w:t>
      </w:r>
      <w:hyperlink r:id="rId7">
        <w:r>
          <w:rPr>
            <w:rStyle w:val="Hyperlink"/>
            <w:rFonts w:cs="FrankRuehl" w:ascii="FrankRuehl" w:hAnsi="FrankRuehl"/>
            <w:color w:val="0000FF"/>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8">
        <w:r>
          <w:rPr>
            <w:rStyle w:val="Hyperlink"/>
            <w:rFonts w:cs="FrankRuehl" w:ascii="FrankRuehl" w:hAnsi="FrankRuehl"/>
            <w:color w:val="0000FF"/>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9">
        <w:r>
          <w:rPr>
            <w:rStyle w:val="Hyperlink"/>
            <w:rFonts w:cs="FrankRuehl" w:ascii="FrankRuehl" w:hAnsi="FrankRuehl"/>
            <w:color w:val="0000FF"/>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rPr>
      </w:pPr>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w:t>
      </w:r>
    </w:p>
    <w:p>
      <w:pPr>
        <w:pStyle w:val="Normal"/>
        <w:spacing w:lineRule="exact" w:line="240" w:before="120" w:after="120"/>
        <w:ind w:hanging="283" w:start="283" w:end="0"/>
        <w:jc w:val="both"/>
        <w:rPr>
          <w:rFonts w:ascii="FrankRuehl" w:hAnsi="FrankRuehl" w:cs="FrankRuehl"/>
          <w:color w:val="0000FF"/>
          <w:u w:val="single"/>
        </w:rPr>
      </w:pPr>
      <w:hyperlink r:id="rId10">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1">
        <w:r>
          <w:rPr>
            <w:rStyle w:val="Hyperlink"/>
            <w:rFonts w:cs="FrankRuehl" w:ascii="FrankRuehl" w:hAnsi="FrankRuehl"/>
            <w:color w:val="0000FF"/>
          </w:rPr>
          <w:t>10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color w:val="0000FF"/>
          <w:u w:val="single"/>
          <w:rtl w:val="true"/>
        </w:rPr>
        <w:t xml:space="preserve">, </w:t>
      </w:r>
      <w:hyperlink r:id="rId12">
        <w:r>
          <w:rPr>
            <w:rStyle w:val="Hyperlink"/>
            <w:rFonts w:cs="FrankRuehl" w:ascii="FrankRuehl" w:hAnsi="FrankRuehl"/>
            <w:color w:val="0000FF"/>
          </w:rPr>
          <w:t>62.1</w:t>
        </w:r>
      </w:hyperlink>
    </w:p>
    <w:p>
      <w:pPr>
        <w:pStyle w:val="Normal"/>
        <w:spacing w:lineRule="exact" w:line="240" w:before="120" w:after="120"/>
        <w:ind w:hanging="283" w:start="283" w:end="0"/>
        <w:jc w:val="both"/>
        <w:rPr>
          <w:rFonts w:ascii="FrankRuehl" w:hAnsi="FrankRuehl" w:cs="FrankRuehl"/>
          <w:color w:val="0000FF"/>
          <w:u w:val="single"/>
        </w:rPr>
      </w:pPr>
      <w:hyperlink r:id="rId13">
        <w:r>
          <w:rPr>
            <w:rStyle w:val="Hyperlink"/>
            <w:rFonts w:ascii="FrankRuehl" w:hAnsi="FrankRuehl" w:cs="FrankRuehl"/>
            <w:color w:val="0000FF"/>
            <w:rtl w:val="true"/>
          </w:rPr>
          <w:t xml:space="preserve">פקודת ביטוח רכב מנועי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w:t>
        </w:r>
        <w:r>
          <w:rPr>
            <w:rStyle w:val="Hyperlink"/>
            <w:rFonts w:cs="FrankRuehl" w:ascii="FrankRuehl" w:hAnsi="FrankRuehl"/>
            <w:color w:val="0000FF"/>
            <w:rtl w:val="true"/>
          </w:rPr>
          <w:t>"</w:t>
        </w:r>
        <w:r>
          <w:rPr>
            <w:rStyle w:val="Hyperlink"/>
            <w:rFonts w:ascii="FrankRuehl" w:hAnsi="FrankRuehl" w:cs="FrankRuehl"/>
            <w:color w:val="0000FF"/>
            <w:rtl w:val="true"/>
          </w:rPr>
          <w:t>ל</w:t>
        </w:r>
        <w:r>
          <w:rPr>
            <w:rStyle w:val="Hyperlink"/>
            <w:rFonts w:cs="FrankRuehl" w:ascii="FrankRuehl" w:hAnsi="FrankRuehl"/>
            <w:color w:val="0000FF"/>
            <w:rtl w:val="true"/>
          </w:rPr>
          <w:t>-</w:t>
        </w:r>
        <w:r>
          <w:rPr>
            <w:rStyle w:val="Hyperlink"/>
            <w:rFonts w:cs="FrankRuehl" w:ascii="FrankRuehl" w:hAnsi="FrankRuehl"/>
            <w:color w:val="0000FF"/>
          </w:rPr>
          <w:t>1970</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4">
        <w:r>
          <w:rPr>
            <w:rStyle w:val="Hyperlink"/>
            <w:rFonts w:cs="FrankRuehl" w:ascii="FrankRuehl" w:hAnsi="FrankRuehl"/>
            <w:color w:val="0000FF"/>
          </w:rPr>
          <w:t>2</w:t>
        </w:r>
      </w:hyperlink>
    </w:p>
    <w:p>
      <w:pPr>
        <w:pStyle w:val="Normal"/>
        <w:ind w:end="0"/>
        <w:jc w:val="start"/>
        <w:rPr>
          <w:rFonts w:ascii="FrankRuehl" w:hAnsi="FrankRuehl" w:cs="FrankRuehl"/>
          <w:color w:val="0000FF"/>
          <w:sz w:val="26"/>
          <w:szCs w:val="26"/>
          <w:u w:val="single"/>
        </w:rPr>
      </w:pPr>
      <w:r>
        <w:rPr>
          <w:rFonts w:cs="FrankRuehl" w:ascii="FrankRuehl" w:hAnsi="FrankRuehl"/>
          <w:color w:val="0000FF"/>
          <w:sz w:val="26"/>
          <w:szCs w:val="26"/>
          <w:u w:val="single"/>
          <w:rtl w:val="true"/>
        </w:rPr>
      </w:r>
      <w:bookmarkStart w:id="5" w:name="LawTable_End"/>
      <w:bookmarkStart w:id="6" w:name="LawTable_End"/>
      <w:bookmarkEnd w:id="6"/>
    </w:p>
    <w:p>
      <w:pPr>
        <w:pStyle w:val="Normal"/>
        <w:pBdr>
          <w:top w:val="single" w:sz="4" w:space="1" w:color="000000"/>
          <w:bottom w:val="single" w:sz="4" w:space="1" w:color="000000"/>
        </w:pBdr>
        <w:spacing w:lineRule="exact" w:line="320" w:before="0" w:after="120"/>
        <w:ind w:end="0"/>
        <w:jc w:val="both"/>
        <w:rPr>
          <w:rFonts w:cs="FrankRuehl"/>
          <w:szCs w:val="26"/>
        </w:rPr>
      </w:pPr>
      <w:bookmarkStart w:id="7" w:name="ABSTRACT_START"/>
      <w:bookmarkStart w:id="8" w:name="PsakDin"/>
      <w:bookmarkEnd w:id="7"/>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הרשעתו</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ותעבורה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Pr>
        <w:t>6</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Pr>
        <w:t>12</w:t>
      </w:r>
      <w:r>
        <w:rPr>
          <w:rFonts w:cs="FrankRuehl"/>
          <w:szCs w:val="26"/>
          <w:rtl w:val="true"/>
        </w:rPr>
        <w:t xml:space="preserve"> </w:t>
      </w:r>
      <w:r>
        <w:rPr>
          <w:rFonts w:cs="FrankRuehl"/>
          <w:szCs w:val="26"/>
          <w:rtl w:val="true"/>
        </w:rPr>
        <w:t>חודשים</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FrankRuehl"/>
          <w:szCs w:val="26"/>
          <w:rtl w:val="true"/>
        </w:rPr>
        <w:t xml:space="preserve">, </w:t>
      </w:r>
      <w:r>
        <w:rPr>
          <w:rFonts w:cs="FrankRuehl"/>
          <w:szCs w:val="26"/>
          <w:rtl w:val="true"/>
        </w:rPr>
        <w:t>הפעלת</w:t>
      </w:r>
      <w:r>
        <w:rPr>
          <w:rFonts w:cs="Times New Roman"/>
          <w:szCs w:val="26"/>
          <w:rtl w:val="true"/>
        </w:rPr>
        <w:t xml:space="preserve"> </w:t>
      </w:r>
      <w:r>
        <w:rPr>
          <w:rFonts w:cs="FrankRuehl"/>
          <w:szCs w:val="26"/>
          <w:rtl w:val="true"/>
        </w:rPr>
        <w:t>המאסר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Times New Roman"/>
          <w:szCs w:val="26"/>
          <w:rtl w:val="true"/>
        </w:rPr>
        <w:t xml:space="preserve"> </w:t>
      </w:r>
      <w:r>
        <w:rPr>
          <w:rFonts w:cs="FrankRuehl"/>
          <w:szCs w:val="26"/>
          <w:rtl w:val="true"/>
        </w:rPr>
        <w:t>התלוי</w:t>
      </w:r>
      <w:r>
        <w:rPr>
          <w:rFonts w:cs="Times New Roman"/>
          <w:szCs w:val="26"/>
          <w:rtl w:val="true"/>
        </w:rPr>
        <w:t xml:space="preserve"> </w:t>
      </w:r>
      <w:r>
        <w:rPr>
          <w:rFonts w:cs="FrankRuehl"/>
          <w:szCs w:val="26"/>
          <w:rtl w:val="true"/>
        </w:rPr>
        <w:t>ועומד</w:t>
      </w:r>
      <w:r>
        <w:rPr>
          <w:rFonts w:cs="Times New Roman"/>
          <w:szCs w:val="26"/>
          <w:rtl w:val="true"/>
        </w:rPr>
        <w:t xml:space="preserve"> </w:t>
      </w:r>
      <w:r>
        <w:rPr>
          <w:rFonts w:cs="FrankRuehl"/>
          <w:szCs w:val="26"/>
          <w:rtl w:val="true"/>
        </w:rPr>
        <w:t>בחלקו</w:t>
      </w:r>
      <w:r>
        <w:rPr>
          <w:rFonts w:cs="Times New Roman"/>
          <w:szCs w:val="26"/>
          <w:rtl w:val="true"/>
        </w:rPr>
        <w:t xml:space="preserve"> </w:t>
      </w:r>
      <w:r>
        <w:rPr>
          <w:rFonts w:cs="FrankRuehl"/>
          <w:szCs w:val="26"/>
          <w:rtl w:val="true"/>
        </w:rPr>
        <w:t>וקנס</w:t>
      </w:r>
      <w:r>
        <w:rPr>
          <w:rFonts w:cs="Times New Roman"/>
          <w:szCs w:val="26"/>
          <w:rtl w:val="true"/>
        </w:rPr>
        <w:t xml:space="preserve"> </w:t>
      </w:r>
      <w:r>
        <w:rPr>
          <w:rFonts w:cs="FrankRuehl"/>
          <w:szCs w:val="26"/>
          <w:rtl w:val="true"/>
        </w:rPr>
        <w:t>בסך</w:t>
      </w:r>
      <w:r>
        <w:rPr>
          <w:rFonts w:cs="Times New Roman"/>
          <w:szCs w:val="26"/>
          <w:rtl w:val="true"/>
        </w:rPr>
        <w:t xml:space="preserve"> </w:t>
      </w:r>
      <w:r>
        <w:rPr>
          <w:rFonts w:cs="FrankRuehl"/>
          <w:szCs w:val="26"/>
        </w:rPr>
        <w:t>10,000</w:t>
      </w:r>
      <w:r>
        <w:rPr>
          <w:rFonts w:cs="FrankRuehl"/>
          <w:szCs w:val="26"/>
          <w:rtl w:val="true"/>
        </w:rPr>
        <w:t xml:space="preserve"> </w:t>
      </w:r>
      <w:r>
        <w:rPr>
          <w:rFonts w:eastAsia="FrankRuehl" w:cs="FrankRuehl" w:ascii="FrankRuehl" w:hAnsi="FrankRuehl"/>
          <w:szCs w:val="26"/>
          <w:rtl w:val="true"/>
        </w:rPr>
        <w:t>₪</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נשק</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הנאשם</w:t>
      </w:r>
      <w:r>
        <w:rPr>
          <w:rFonts w:cs="Times New Roman"/>
          <w:szCs w:val="26"/>
          <w:rtl w:val="true"/>
        </w:rPr>
        <w:t xml:space="preserve"> </w:t>
      </w:r>
      <w:r>
        <w:rPr>
          <w:rFonts w:cs="FrankRuehl"/>
          <w:szCs w:val="26"/>
          <w:rtl w:val="true"/>
        </w:rPr>
        <w:t>הודה</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הסדר</w:t>
      </w:r>
      <w:r>
        <w:rPr>
          <w:rFonts w:cs="Times New Roman"/>
          <w:szCs w:val="26"/>
          <w:rtl w:val="true"/>
        </w:rPr>
        <w:t xml:space="preserve"> </w:t>
      </w:r>
      <w:r>
        <w:rPr>
          <w:rFonts w:cs="FrankRuehl"/>
          <w:szCs w:val="26"/>
          <w:rtl w:val="true"/>
        </w:rPr>
        <w:t>טיעון</w:t>
      </w:r>
      <w:r>
        <w:rPr>
          <w:rFonts w:cs="Times New Roman"/>
          <w:szCs w:val="26"/>
          <w:rtl w:val="true"/>
        </w:rPr>
        <w:t xml:space="preserve"> </w:t>
      </w:r>
      <w:r>
        <w:rPr>
          <w:rFonts w:cs="FrankRuehl"/>
          <w:szCs w:val="26"/>
          <w:rtl w:val="true"/>
        </w:rPr>
        <w:t>חלקי</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סחר</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בנשק</w:t>
      </w:r>
      <w:r>
        <w:rPr>
          <w:rFonts w:cs="Times New Roman"/>
          <w:szCs w:val="26"/>
          <w:rtl w:val="true"/>
        </w:rPr>
        <w:t xml:space="preserve"> </w:t>
      </w:r>
      <w:r>
        <w:rPr>
          <w:rFonts w:cs="FrankRuehl"/>
          <w:szCs w:val="26"/>
          <w:rtl w:val="true"/>
        </w:rPr>
        <w:t>(</w:t>
      </w:r>
      <w:r>
        <w:rPr>
          <w:rFonts w:cs="FrankRuehl"/>
          <w:szCs w:val="26"/>
          <w:rtl w:val="true"/>
        </w:rPr>
        <w:t>החזקה</w:t>
      </w:r>
      <w:r>
        <w:rPr>
          <w:rFonts w:cs="FrankRuehl"/>
          <w:szCs w:val="26"/>
          <w:rtl w:val="true"/>
        </w:rPr>
        <w:t xml:space="preserve">+ </w:t>
      </w:r>
      <w:r>
        <w:rPr>
          <w:rFonts w:cs="FrankRuehl"/>
          <w:szCs w:val="26"/>
          <w:rtl w:val="true"/>
        </w:rPr>
        <w:t>נשיאה</w:t>
      </w:r>
      <w:r>
        <w:rPr>
          <w:rFonts w:cs="FrankRuehl"/>
          <w:szCs w:val="26"/>
          <w:rtl w:val="true"/>
        </w:rPr>
        <w:t xml:space="preserve">); </w:t>
      </w:r>
      <w:r>
        <w:rPr>
          <w:rFonts w:cs="FrankRuehl"/>
          <w:szCs w:val="26"/>
          <w:rtl w:val="true"/>
        </w:rPr>
        <w:t>נהיגה</w:t>
      </w:r>
      <w:r>
        <w:rPr>
          <w:rFonts w:cs="Times New Roman"/>
          <w:szCs w:val="26"/>
          <w:rtl w:val="true"/>
        </w:rPr>
        <w:t xml:space="preserve"> </w:t>
      </w:r>
      <w:r>
        <w:rPr>
          <w:rFonts w:cs="FrankRuehl"/>
          <w:szCs w:val="26"/>
          <w:rtl w:val="true"/>
        </w:rPr>
        <w:t>ללא</w:t>
      </w:r>
      <w:r>
        <w:rPr>
          <w:rFonts w:cs="Times New Roman"/>
          <w:szCs w:val="26"/>
          <w:rtl w:val="true"/>
        </w:rPr>
        <w:t xml:space="preserve"> </w:t>
      </w:r>
      <w:r>
        <w:rPr>
          <w:rFonts w:cs="FrankRuehl"/>
          <w:szCs w:val="26"/>
          <w:rtl w:val="true"/>
        </w:rPr>
        <w:t>רישיון</w:t>
      </w:r>
      <w:r>
        <w:rPr>
          <w:rFonts w:cs="Times New Roman"/>
          <w:szCs w:val="26"/>
          <w:rtl w:val="true"/>
        </w:rPr>
        <w:t xml:space="preserve"> </w:t>
      </w:r>
      <w:r>
        <w:rPr>
          <w:rFonts w:cs="FrankRuehl"/>
          <w:szCs w:val="26"/>
          <w:rtl w:val="true"/>
        </w:rPr>
        <w:t>נהיגה</w:t>
      </w:r>
      <w:r>
        <w:rPr>
          <w:rFonts w:cs="Times New Roman"/>
          <w:szCs w:val="26"/>
          <w:rtl w:val="true"/>
        </w:rPr>
        <w:t xml:space="preserve"> </w:t>
      </w:r>
      <w:r>
        <w:rPr>
          <w:rFonts w:cs="FrankRuehl"/>
          <w:szCs w:val="26"/>
          <w:rtl w:val="true"/>
        </w:rPr>
        <w:t>בתוקף</w:t>
      </w:r>
      <w:r>
        <w:rPr>
          <w:rFonts w:cs="Times New Roman"/>
          <w:szCs w:val="26"/>
          <w:rtl w:val="true"/>
        </w:rPr>
        <w:t xml:space="preserve"> </w:t>
      </w:r>
      <w:r>
        <w:rPr>
          <w:rFonts w:cs="FrankRuehl"/>
          <w:szCs w:val="26"/>
          <w:rtl w:val="true"/>
        </w:rPr>
        <w:t>וחובת</w:t>
      </w:r>
      <w:r>
        <w:rPr>
          <w:rFonts w:cs="Times New Roman"/>
          <w:szCs w:val="26"/>
          <w:rtl w:val="true"/>
        </w:rPr>
        <w:t xml:space="preserve"> </w:t>
      </w:r>
      <w:r>
        <w:rPr>
          <w:rFonts w:cs="FrankRuehl"/>
          <w:szCs w:val="26"/>
          <w:rtl w:val="true"/>
        </w:rPr>
        <w:t>פוליסה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המחוזי</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כדלהלן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הערכים</w:t>
      </w:r>
      <w:r>
        <w:rPr>
          <w:rFonts w:cs="Times New Roman"/>
          <w:szCs w:val="26"/>
          <w:rtl w:val="true"/>
        </w:rPr>
        <w:t xml:space="preserve"> </w:t>
      </w:r>
      <w:r>
        <w:rPr>
          <w:rFonts w:cs="FrankRuehl"/>
          <w:szCs w:val="26"/>
          <w:rtl w:val="true"/>
        </w:rPr>
        <w:t>החברתיים</w:t>
      </w:r>
      <w:r>
        <w:rPr>
          <w:rFonts w:cs="Times New Roman"/>
          <w:szCs w:val="26"/>
          <w:rtl w:val="true"/>
        </w:rPr>
        <w:t xml:space="preserve"> </w:t>
      </w:r>
      <w:r>
        <w:rPr>
          <w:rFonts w:cs="FrankRuehl"/>
          <w:szCs w:val="26"/>
          <w:rtl w:val="true"/>
        </w:rPr>
        <w:t>שנפגעו</w:t>
      </w:r>
      <w:r>
        <w:rPr>
          <w:rFonts w:cs="Times New Roman"/>
          <w:szCs w:val="26"/>
          <w:rtl w:val="true"/>
        </w:rPr>
        <w:t xml:space="preserve"> </w:t>
      </w:r>
      <w:r>
        <w:rPr>
          <w:rFonts w:cs="FrankRuehl"/>
          <w:szCs w:val="26"/>
          <w:rtl w:val="true"/>
        </w:rPr>
        <w:t>הם</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שמירה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החיים</w:t>
      </w:r>
      <w:r>
        <w:rPr>
          <w:rFonts w:cs="FrankRuehl"/>
          <w:szCs w:val="26"/>
          <w:rtl w:val="true"/>
        </w:rPr>
        <w:t xml:space="preserve">, </w:t>
      </w:r>
      <w:r>
        <w:rPr>
          <w:rFonts w:cs="FrankRuehl"/>
          <w:szCs w:val="26"/>
          <w:rtl w:val="true"/>
        </w:rPr>
        <w:t>בטחון</w:t>
      </w:r>
      <w:r>
        <w:rPr>
          <w:rFonts w:cs="Times New Roman"/>
          <w:szCs w:val="26"/>
          <w:rtl w:val="true"/>
        </w:rPr>
        <w:t xml:space="preserve"> </w:t>
      </w:r>
      <w:r>
        <w:rPr>
          <w:rFonts w:cs="FrankRuehl"/>
          <w:szCs w:val="26"/>
          <w:rtl w:val="true"/>
        </w:rPr>
        <w:t>הציבור</w:t>
      </w:r>
      <w:r>
        <w:rPr>
          <w:rFonts w:cs="Times New Roman"/>
          <w:szCs w:val="26"/>
          <w:rtl w:val="true"/>
        </w:rPr>
        <w:t xml:space="preserve"> </w:t>
      </w:r>
      <w:r>
        <w:rPr>
          <w:rFonts w:cs="FrankRuehl"/>
          <w:szCs w:val="26"/>
          <w:rtl w:val="true"/>
        </w:rPr>
        <w:t>ושלומו</w:t>
      </w:r>
      <w:r>
        <w:rPr>
          <w:rFonts w:cs="FrankRuehl"/>
          <w:szCs w:val="26"/>
          <w:rtl w:val="true"/>
        </w:rPr>
        <w:t xml:space="preserve">. </w:t>
      </w:r>
      <w:r>
        <w:rPr>
          <w:rFonts w:cs="FrankRuehl"/>
          <w:szCs w:val="26"/>
          <w:rtl w:val="true"/>
        </w:rPr>
        <w:t>כיוון</w:t>
      </w:r>
      <w:r>
        <w:rPr>
          <w:rFonts w:cs="Times New Roman"/>
          <w:szCs w:val="26"/>
          <w:rtl w:val="true"/>
        </w:rPr>
        <w:t xml:space="preserve"> </w:t>
      </w:r>
      <w:r>
        <w:rPr>
          <w:rFonts w:cs="FrankRuehl"/>
          <w:szCs w:val="26"/>
          <w:rtl w:val="true"/>
        </w:rPr>
        <w:t>שמדובר</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סחר</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ועבירות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החזקה</w:t>
      </w:r>
      <w:r>
        <w:rPr>
          <w:rFonts w:cs="Times New Roman"/>
          <w:szCs w:val="26"/>
          <w:rtl w:val="true"/>
        </w:rPr>
        <w:t xml:space="preserve"> </w:t>
      </w:r>
      <w:r>
        <w:rPr>
          <w:rFonts w:cs="FrankRuehl"/>
          <w:szCs w:val="26"/>
          <w:rtl w:val="true"/>
        </w:rPr>
        <w:t>ונשיאה</w:t>
      </w:r>
      <w:r>
        <w:rPr>
          <w:rFonts w:cs="Times New Roman"/>
          <w:szCs w:val="26"/>
          <w:rtl w:val="true"/>
        </w:rPr>
        <w:t xml:space="preserve"> </w:t>
      </w:r>
      <w:r>
        <w:rPr>
          <w:rFonts w:cs="FrankRuehl"/>
          <w:szCs w:val="26"/>
          <w:rtl w:val="true"/>
        </w:rPr>
        <w:t>מדובר</w:t>
      </w:r>
      <w:r>
        <w:rPr>
          <w:rFonts w:cs="Times New Roman"/>
          <w:szCs w:val="26"/>
          <w:rtl w:val="true"/>
        </w:rPr>
        <w:t xml:space="preserve"> </w:t>
      </w:r>
      <w:r>
        <w:rPr>
          <w:rFonts w:cs="FrankRuehl"/>
          <w:szCs w:val="26"/>
          <w:rtl w:val="true"/>
        </w:rPr>
        <w:t>בפגיעה</w:t>
      </w:r>
      <w:r>
        <w:rPr>
          <w:rFonts w:cs="Times New Roman"/>
          <w:szCs w:val="26"/>
          <w:rtl w:val="true"/>
        </w:rPr>
        <w:t xml:space="preserve"> </w:t>
      </w:r>
      <w:r>
        <w:rPr>
          <w:rFonts w:cs="FrankRuehl"/>
          <w:szCs w:val="26"/>
          <w:rtl w:val="true"/>
        </w:rPr>
        <w:t>יחסית</w:t>
      </w:r>
      <w:r>
        <w:rPr>
          <w:rFonts w:cs="Times New Roman"/>
          <w:szCs w:val="26"/>
          <w:rtl w:val="true"/>
        </w:rPr>
        <w:t xml:space="preserve"> </w:t>
      </w:r>
      <w:r>
        <w:rPr>
          <w:rFonts w:cs="FrankRuehl"/>
          <w:szCs w:val="26"/>
          <w:rtl w:val="true"/>
        </w:rPr>
        <w:t>חמורה</w:t>
      </w:r>
      <w:r>
        <w:rPr>
          <w:rFonts w:cs="Times New Roman"/>
          <w:szCs w:val="26"/>
          <w:rtl w:val="true"/>
        </w:rPr>
        <w:t xml:space="preserve"> </w:t>
      </w:r>
      <w:r>
        <w:rPr>
          <w:rFonts w:cs="FrankRuehl"/>
          <w:szCs w:val="26"/>
          <w:rtl w:val="true"/>
        </w:rPr>
        <w:t>בערכים</w:t>
      </w:r>
      <w:r>
        <w:rPr>
          <w:rFonts w:cs="Times New Roman"/>
          <w:szCs w:val="26"/>
          <w:rtl w:val="true"/>
        </w:rPr>
        <w:t xml:space="preserve"> </w:t>
      </w:r>
      <w:r>
        <w:rPr>
          <w:rFonts w:cs="FrankRuehl"/>
          <w:szCs w:val="26"/>
          <w:rtl w:val="true"/>
        </w:rPr>
        <w:t>המוגנים</w:t>
      </w:r>
      <w:r>
        <w:rPr>
          <w:rFonts w:cs="FrankRuehl"/>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העבירות</w:t>
      </w:r>
      <w:r>
        <w:rPr>
          <w:rFonts w:cs="Times New Roman"/>
          <w:szCs w:val="26"/>
          <w:rtl w:val="true"/>
        </w:rPr>
        <w:t xml:space="preserve"> </w:t>
      </w:r>
      <w:r>
        <w:rPr>
          <w:rFonts w:cs="FrankRuehl"/>
          <w:szCs w:val="26"/>
          <w:rtl w:val="true"/>
        </w:rPr>
        <w:t>האחרות</w:t>
      </w:r>
      <w:r>
        <w:rPr>
          <w:rFonts w:cs="Times New Roman"/>
          <w:szCs w:val="26"/>
          <w:rtl w:val="true"/>
        </w:rPr>
        <w:t xml:space="preserve"> </w:t>
      </w:r>
      <w:r>
        <w:rPr>
          <w:rFonts w:cs="FrankRuehl"/>
          <w:szCs w:val="26"/>
          <w:rtl w:val="true"/>
        </w:rPr>
        <w:t>נפגעו</w:t>
      </w:r>
      <w:r>
        <w:rPr>
          <w:rFonts w:cs="Times New Roman"/>
          <w:szCs w:val="26"/>
          <w:rtl w:val="true"/>
        </w:rPr>
        <w:t xml:space="preserve"> </w:t>
      </w:r>
      <w:r>
        <w:rPr>
          <w:rFonts w:cs="FrankRuehl"/>
          <w:szCs w:val="26"/>
          <w:rtl w:val="true"/>
        </w:rPr>
        <w:t>הערכים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שמירה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הסדר</w:t>
      </w:r>
      <w:r>
        <w:rPr>
          <w:rFonts w:cs="Times New Roman"/>
          <w:szCs w:val="26"/>
          <w:rtl w:val="true"/>
        </w:rPr>
        <w:t xml:space="preserve"> </w:t>
      </w:r>
      <w:r>
        <w:rPr>
          <w:rFonts w:cs="FrankRuehl"/>
          <w:szCs w:val="26"/>
          <w:rtl w:val="true"/>
        </w:rPr>
        <w:t>הציבורי</w:t>
      </w:r>
      <w:r>
        <w:rPr>
          <w:rFonts w:cs="Times New Roman"/>
          <w:szCs w:val="26"/>
          <w:rtl w:val="true"/>
        </w:rPr>
        <w:t xml:space="preserve"> </w:t>
      </w:r>
      <w:r>
        <w:rPr>
          <w:rFonts w:cs="FrankRuehl"/>
          <w:szCs w:val="26"/>
          <w:rtl w:val="true"/>
        </w:rPr>
        <w:t>ובטיחות</w:t>
      </w:r>
      <w:r>
        <w:rPr>
          <w:rFonts w:cs="Times New Roman"/>
          <w:szCs w:val="26"/>
          <w:rtl w:val="true"/>
        </w:rPr>
        <w:t xml:space="preserve"> </w:t>
      </w:r>
      <w:r>
        <w:rPr>
          <w:rFonts w:cs="FrankRuehl"/>
          <w:szCs w:val="26"/>
          <w:rtl w:val="true"/>
        </w:rPr>
        <w:t>בדרכים</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נע</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3-6</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בנסיבות</w:t>
      </w:r>
      <w:r>
        <w:rPr>
          <w:rFonts w:cs="FrankRuehl"/>
          <w:szCs w:val="26"/>
          <w:rtl w:val="true"/>
        </w:rPr>
        <w:t xml:space="preserve">. </w:t>
      </w:r>
      <w:r>
        <w:rPr>
          <w:rFonts w:cs="FrankRuehl"/>
          <w:szCs w:val="26"/>
          <w:rtl w:val="true"/>
        </w:rPr>
        <w:t>המקרה</w:t>
      </w:r>
      <w:r>
        <w:rPr>
          <w:rFonts w:cs="Times New Roman"/>
          <w:szCs w:val="26"/>
          <w:rtl w:val="true"/>
        </w:rPr>
        <w:t xml:space="preserve"> </w:t>
      </w:r>
      <w:r>
        <w:rPr>
          <w:rFonts w:cs="FrankRuehl"/>
          <w:szCs w:val="26"/>
          <w:rtl w:val="true"/>
        </w:rPr>
        <w:t>דנן</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שהינו</w:t>
      </w:r>
      <w:r>
        <w:rPr>
          <w:rFonts w:cs="Times New Roman"/>
          <w:szCs w:val="26"/>
          <w:rtl w:val="true"/>
        </w:rPr>
        <w:t xml:space="preserve"> </w:t>
      </w:r>
      <w:r>
        <w:rPr>
          <w:rFonts w:cs="FrankRuehl"/>
          <w:szCs w:val="26"/>
          <w:rtl w:val="true"/>
        </w:rPr>
        <w:t>חמור</w:t>
      </w:r>
      <w:r>
        <w:rPr>
          <w:rFonts w:cs="FrankRuehl"/>
          <w:szCs w:val="26"/>
          <w:rtl w:val="true"/>
        </w:rPr>
        <w:t xml:space="preserve">, </w:t>
      </w:r>
      <w:r>
        <w:rPr>
          <w:rFonts w:cs="FrankRuehl"/>
          <w:szCs w:val="26"/>
          <w:rtl w:val="true"/>
        </w:rPr>
        <w:t>נעדר</w:t>
      </w:r>
      <w:r>
        <w:rPr>
          <w:rFonts w:cs="Times New Roman"/>
          <w:szCs w:val="26"/>
          <w:rtl w:val="true"/>
        </w:rPr>
        <w:t xml:space="preserve"> </w:t>
      </w:r>
      <w:r>
        <w:rPr>
          <w:rFonts w:cs="FrankRuehl"/>
          <w:szCs w:val="26"/>
          <w:rtl w:val="true"/>
        </w:rPr>
        <w:t>המאפיין</w:t>
      </w:r>
      <w:r>
        <w:rPr>
          <w:rFonts w:cs="Times New Roman"/>
          <w:szCs w:val="26"/>
          <w:rtl w:val="true"/>
        </w:rPr>
        <w:t xml:space="preserve"> </w:t>
      </w:r>
      <w:r>
        <w:rPr>
          <w:rFonts w:cs="FrankRuehl"/>
          <w:szCs w:val="26"/>
          <w:rtl w:val="true"/>
        </w:rPr>
        <w:t>המיוחד</w:t>
      </w:r>
      <w:r>
        <w:rPr>
          <w:rFonts w:cs="Times New Roman"/>
          <w:szCs w:val="26"/>
          <w:rtl w:val="true"/>
        </w:rPr>
        <w:t xml:space="preserve"> </w:t>
      </w:r>
      <w:r>
        <w:rPr>
          <w:rFonts w:cs="FrankRuehl"/>
          <w:szCs w:val="26"/>
          <w:rtl w:val="true"/>
        </w:rPr>
        <w:t>הדרוש</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להצדיק</w:t>
      </w:r>
      <w:r>
        <w:rPr>
          <w:rFonts w:cs="Times New Roman"/>
          <w:szCs w:val="26"/>
          <w:rtl w:val="true"/>
        </w:rPr>
        <w:t xml:space="preserve"> </w:t>
      </w:r>
      <w:r>
        <w:rPr>
          <w:rFonts w:cs="FrankRuehl"/>
          <w:szCs w:val="26"/>
          <w:rtl w:val="true"/>
        </w:rPr>
        <w:t>חריגה</w:t>
      </w:r>
      <w:r>
        <w:rPr>
          <w:rFonts w:cs="Times New Roman"/>
          <w:szCs w:val="26"/>
          <w:rtl w:val="true"/>
        </w:rPr>
        <w:t xml:space="preserve"> </w:t>
      </w:r>
      <w:r>
        <w:rPr>
          <w:rFonts w:cs="FrankRuehl"/>
          <w:szCs w:val="26"/>
          <w:rtl w:val="true"/>
        </w:rPr>
        <w:t>מהגבול</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הענישה</w:t>
      </w:r>
      <w:r>
        <w:rPr>
          <w:rFonts w:cs="FrankRuehl"/>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אמנם</w:t>
      </w:r>
      <w:r>
        <w:rPr>
          <w:rFonts w:cs="Times New Roman"/>
          <w:szCs w:val="26"/>
          <w:rtl w:val="true"/>
        </w:rPr>
        <w:t xml:space="preserve"> </w:t>
      </w:r>
      <w:r>
        <w:rPr>
          <w:rFonts w:cs="FrankRuehl"/>
          <w:szCs w:val="26"/>
          <w:rtl w:val="true"/>
        </w:rPr>
        <w:t>רצידיווי</w:t>
      </w:r>
      <w:r>
        <w:rPr>
          <w:rFonts w:cs="FrankRuehl"/>
          <w:szCs w:val="26"/>
          <w:rtl w:val="true"/>
        </w:rPr>
        <w:t>סט</w:t>
      </w:r>
      <w:r>
        <w:rPr>
          <w:rFonts w:cs="Times New Roman"/>
          <w:szCs w:val="26"/>
          <w:rtl w:val="true"/>
        </w:rPr>
        <w:t xml:space="preserve"> </w:t>
      </w:r>
      <w:r>
        <w:rPr>
          <w:rFonts w:cs="FrankRuehl"/>
          <w:szCs w:val="26"/>
          <w:rtl w:val="true"/>
        </w:rPr>
        <w:t>סדרתי</w:t>
      </w:r>
      <w:r>
        <w:rPr>
          <w:rFonts w:cs="Times New Roman"/>
          <w:szCs w:val="26"/>
          <w:rtl w:val="true"/>
        </w:rPr>
        <w:t xml:space="preserve"> </w:t>
      </w:r>
      <w:r>
        <w:rPr>
          <w:rFonts w:cs="FrankRuehl"/>
          <w:szCs w:val="26"/>
          <w:rtl w:val="true"/>
        </w:rPr>
        <w:t>בכל</w:t>
      </w:r>
      <w:r>
        <w:rPr>
          <w:rFonts w:cs="Times New Roman"/>
          <w:szCs w:val="26"/>
          <w:rtl w:val="true"/>
        </w:rPr>
        <w:t xml:space="preserve"> </w:t>
      </w:r>
      <w:r>
        <w:rPr>
          <w:rFonts w:cs="FrankRuehl"/>
          <w:szCs w:val="26"/>
          <w:rtl w:val="true"/>
        </w:rPr>
        <w:t>הנוגע</w:t>
      </w:r>
      <w:r>
        <w:rPr>
          <w:rFonts w:cs="Times New Roman"/>
          <w:szCs w:val="26"/>
          <w:rtl w:val="true"/>
        </w:rPr>
        <w:t xml:space="preserve"> </w:t>
      </w:r>
      <w:r>
        <w:rPr>
          <w:rFonts w:cs="FrankRuehl"/>
          <w:szCs w:val="26"/>
          <w:rtl w:val="true"/>
        </w:rPr>
        <w:t>לעבירות</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ועל</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נכנס</w:t>
      </w:r>
      <w:r>
        <w:rPr>
          <w:rFonts w:cs="Times New Roman"/>
          <w:szCs w:val="26"/>
          <w:rtl w:val="true"/>
        </w:rPr>
        <w:t xml:space="preserve"> </w:t>
      </w:r>
      <w:r>
        <w:rPr>
          <w:rFonts w:cs="FrankRuehl"/>
          <w:szCs w:val="26"/>
          <w:rtl w:val="true"/>
        </w:rPr>
        <w:t>בגדר</w:t>
      </w:r>
      <w:r>
        <w:rPr>
          <w:rFonts w:cs="Times New Roman"/>
          <w:szCs w:val="26"/>
          <w:rtl w:val="true"/>
        </w:rPr>
        <w:t xml:space="preserve"> </w:t>
      </w:r>
      <w:r>
        <w:rPr>
          <w:rFonts w:cs="FrankRuehl"/>
          <w:szCs w:val="26"/>
          <w:rtl w:val="true"/>
        </w:rPr>
        <w:t>הקטגוריה</w:t>
      </w:r>
      <w:r>
        <w:rPr>
          <w:rFonts w:cs="Times New Roman"/>
          <w:szCs w:val="26"/>
          <w:rtl w:val="true"/>
        </w:rPr>
        <w:t xml:space="preserve"> </w:t>
      </w:r>
      <w:r>
        <w:rPr>
          <w:rFonts w:cs="FrankRuehl"/>
          <w:szCs w:val="26"/>
          <w:rtl w:val="true"/>
        </w:rPr>
        <w:t>הייחודית</w:t>
      </w:r>
      <w:r>
        <w:rPr>
          <w:rFonts w:cs="Times New Roman"/>
          <w:szCs w:val="26"/>
          <w:rtl w:val="true"/>
        </w:rPr>
        <w:t xml:space="preserve"> </w:t>
      </w:r>
      <w:r>
        <w:rPr>
          <w:rFonts w:cs="FrankRuehl"/>
          <w:szCs w:val="26"/>
          <w:rtl w:val="true"/>
        </w:rPr>
        <w:t>השמורה</w:t>
      </w:r>
      <w:r>
        <w:rPr>
          <w:rFonts w:cs="Times New Roman"/>
          <w:szCs w:val="26"/>
          <w:rtl w:val="true"/>
        </w:rPr>
        <w:t xml:space="preserve"> </w:t>
      </w:r>
      <w:r>
        <w:rPr>
          <w:rFonts w:cs="FrankRuehl"/>
          <w:szCs w:val="26"/>
          <w:rtl w:val="true"/>
        </w:rPr>
        <w:t>למעטים</w:t>
      </w:r>
      <w:r>
        <w:rPr>
          <w:rFonts w:cs="Times New Roman"/>
          <w:szCs w:val="26"/>
          <w:rtl w:val="true"/>
        </w:rPr>
        <w:t xml:space="preserve"> </w:t>
      </w:r>
      <w:r>
        <w:rPr>
          <w:rFonts w:cs="FrankRuehl"/>
          <w:szCs w:val="26"/>
          <w:rtl w:val="true"/>
        </w:rPr>
        <w:t>שמעשיהם</w:t>
      </w:r>
      <w:r>
        <w:rPr>
          <w:rFonts w:cs="Times New Roman"/>
          <w:szCs w:val="26"/>
          <w:rtl w:val="true"/>
        </w:rPr>
        <w:t xml:space="preserve"> </w:t>
      </w:r>
      <w:r>
        <w:rPr>
          <w:rFonts w:cs="FrankRuehl"/>
          <w:szCs w:val="26"/>
          <w:rtl w:val="true"/>
        </w:rPr>
        <w:t>כה</w:t>
      </w:r>
      <w:r>
        <w:rPr>
          <w:rFonts w:cs="Times New Roman"/>
          <w:szCs w:val="26"/>
          <w:rtl w:val="true"/>
        </w:rPr>
        <w:t xml:space="preserve"> </w:t>
      </w:r>
      <w:r>
        <w:rPr>
          <w:rFonts w:cs="FrankRuehl"/>
          <w:szCs w:val="26"/>
          <w:rtl w:val="true"/>
        </w:rPr>
        <w:t>חמורים</w:t>
      </w:r>
      <w:r>
        <w:rPr>
          <w:rFonts w:cs="Times New Roman"/>
          <w:szCs w:val="26"/>
          <w:rtl w:val="true"/>
        </w:rPr>
        <w:t xml:space="preserve"> </w:t>
      </w:r>
      <w:r>
        <w:rPr>
          <w:rFonts w:cs="FrankRuehl"/>
          <w:szCs w:val="26"/>
          <w:rtl w:val="true"/>
        </w:rPr>
        <w:t>ומזעזעים</w:t>
      </w:r>
      <w:r>
        <w:rPr>
          <w:rFonts w:cs="Times New Roman"/>
          <w:szCs w:val="26"/>
          <w:rtl w:val="true"/>
        </w:rPr>
        <w:t xml:space="preserve"> </w:t>
      </w:r>
      <w:r>
        <w:rPr>
          <w:rFonts w:cs="FrankRuehl"/>
          <w:szCs w:val="26"/>
          <w:rtl w:val="true"/>
        </w:rPr>
        <w:t>שגם</w:t>
      </w:r>
      <w:r>
        <w:rPr>
          <w:rFonts w:cs="Times New Roman"/>
          <w:szCs w:val="26"/>
          <w:rtl w:val="true"/>
        </w:rPr>
        <w:t xml:space="preserve"> </w:t>
      </w:r>
      <w:r>
        <w:rPr>
          <w:rFonts w:cs="FrankRuehl"/>
          <w:szCs w:val="26"/>
          <w:rtl w:val="true"/>
        </w:rPr>
        <w:t>הרף</w:t>
      </w:r>
      <w:r>
        <w:rPr>
          <w:rFonts w:cs="Times New Roman"/>
          <w:szCs w:val="26"/>
          <w:rtl w:val="true"/>
        </w:rPr>
        <w:t xml:space="preserve"> </w:t>
      </w:r>
      <w:r>
        <w:rPr>
          <w:rFonts w:cs="FrankRuehl"/>
          <w:szCs w:val="26"/>
          <w:rtl w:val="true"/>
        </w:rPr>
        <w:t>הגבוה</w:t>
      </w:r>
      <w:r>
        <w:rPr>
          <w:rFonts w:cs="Times New Roman"/>
          <w:szCs w:val="26"/>
          <w:rtl w:val="true"/>
        </w:rPr>
        <w:t xml:space="preserve"> </w:t>
      </w:r>
      <w:r>
        <w:rPr>
          <w:rFonts w:cs="FrankRuehl"/>
          <w:szCs w:val="26"/>
          <w:rtl w:val="true"/>
        </w:rPr>
        <w:t>ביותר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אינו</w:t>
      </w:r>
      <w:r>
        <w:rPr>
          <w:rFonts w:cs="Times New Roman"/>
          <w:szCs w:val="26"/>
          <w:rtl w:val="true"/>
        </w:rPr>
        <w:t xml:space="preserve"> </w:t>
      </w:r>
      <w:r>
        <w:rPr>
          <w:rFonts w:cs="FrankRuehl"/>
          <w:szCs w:val="26"/>
          <w:rtl w:val="true"/>
        </w:rPr>
        <w:t>מהווה</w:t>
      </w:r>
      <w:r>
        <w:rPr>
          <w:rFonts w:cs="Times New Roman"/>
          <w:szCs w:val="26"/>
          <w:rtl w:val="true"/>
        </w:rPr>
        <w:t xml:space="preserve"> </w:t>
      </w:r>
      <w:r>
        <w:rPr>
          <w:rFonts w:cs="FrankRuehl"/>
          <w:szCs w:val="26"/>
          <w:rtl w:val="true"/>
        </w:rPr>
        <w:t>תשובה</w:t>
      </w:r>
      <w:r>
        <w:rPr>
          <w:rFonts w:cs="Times New Roman"/>
          <w:szCs w:val="26"/>
          <w:rtl w:val="true"/>
        </w:rPr>
        <w:t xml:space="preserve"> </w:t>
      </w:r>
      <w:r>
        <w:rPr>
          <w:rFonts w:cs="FrankRuehl"/>
          <w:szCs w:val="26"/>
          <w:rtl w:val="true"/>
        </w:rPr>
        <w:t>הולמת</w:t>
      </w:r>
      <w:r>
        <w:rPr>
          <w:rFonts w:cs="Times New Roman"/>
          <w:szCs w:val="26"/>
          <w:rtl w:val="true"/>
        </w:rPr>
        <w:t xml:space="preserve"> </w:t>
      </w:r>
      <w:r>
        <w:rPr>
          <w:rFonts w:cs="FrankRuehl"/>
          <w:szCs w:val="26"/>
          <w:rtl w:val="true"/>
        </w:rPr>
        <w:t>לשקלול</w:t>
      </w:r>
      <w:r>
        <w:rPr>
          <w:rFonts w:cs="Times New Roman"/>
          <w:szCs w:val="26"/>
          <w:rtl w:val="true"/>
        </w:rPr>
        <w:t xml:space="preserve"> </w:t>
      </w:r>
      <w:r>
        <w:rPr>
          <w:rFonts w:cs="FrankRuehl"/>
          <w:szCs w:val="26"/>
          <w:rtl w:val="true"/>
        </w:rPr>
        <w:t>ענישתם</w:t>
      </w:r>
      <w:r>
        <w:rPr>
          <w:rFonts w:cs="FrankRuehl"/>
          <w:szCs w:val="26"/>
          <w:rtl w:val="true"/>
        </w:rPr>
        <w:t xml:space="preserve">. </w:t>
      </w:r>
      <w:r>
        <w:rPr>
          <w:rFonts w:cs="FrankRuehl"/>
          <w:szCs w:val="26"/>
          <w:rtl w:val="true"/>
        </w:rPr>
        <w:t>בהתחשב</w:t>
      </w:r>
      <w:r>
        <w:rPr>
          <w:rFonts w:cs="Times New Roman"/>
          <w:szCs w:val="26"/>
          <w:rtl w:val="true"/>
        </w:rPr>
        <w:t xml:space="preserve"> </w:t>
      </w:r>
      <w:r>
        <w:rPr>
          <w:rFonts w:cs="FrankRuehl"/>
          <w:szCs w:val="26"/>
          <w:rtl w:val="true"/>
        </w:rPr>
        <w:t>במכלול</w:t>
      </w:r>
      <w:r>
        <w:rPr>
          <w:rFonts w:cs="Times New Roman"/>
          <w:szCs w:val="26"/>
          <w:rtl w:val="true"/>
        </w:rPr>
        <w:t xml:space="preserve"> </w:t>
      </w:r>
      <w:r>
        <w:rPr>
          <w:rFonts w:cs="FrankRuehl"/>
          <w:szCs w:val="26"/>
          <w:rtl w:val="true"/>
        </w:rPr>
        <w:t>השיקולים</w:t>
      </w:r>
      <w:r>
        <w:rPr>
          <w:rFonts w:cs="FrankRuehl"/>
          <w:szCs w:val="26"/>
          <w:rtl w:val="true"/>
        </w:rPr>
        <w:t xml:space="preserve">, </w:t>
      </w:r>
      <w:r>
        <w:rPr>
          <w:rFonts w:cs="FrankRuehl"/>
          <w:szCs w:val="26"/>
          <w:rtl w:val="true"/>
        </w:rPr>
        <w:t>הושתו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6</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Pr>
        <w:t>12</w:t>
      </w:r>
      <w:r>
        <w:rPr>
          <w:rFonts w:cs="FrankRuehl"/>
          <w:szCs w:val="26"/>
          <w:rtl w:val="true"/>
        </w:rPr>
        <w:t xml:space="preserve"> </w:t>
      </w:r>
      <w:r>
        <w:rPr>
          <w:rFonts w:cs="FrankRuehl"/>
          <w:szCs w:val="26"/>
          <w:rtl w:val="true"/>
        </w:rPr>
        <w:t>חודשים</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FrankRuehl"/>
          <w:szCs w:val="26"/>
          <w:rtl w:val="true"/>
        </w:rPr>
        <w:t xml:space="preserve">, </w:t>
      </w:r>
      <w:r>
        <w:rPr>
          <w:rFonts w:cs="FrankRuehl"/>
          <w:szCs w:val="26"/>
          <w:rtl w:val="true"/>
        </w:rPr>
        <w:t>הפעלת</w:t>
      </w:r>
      <w:r>
        <w:rPr>
          <w:rFonts w:cs="Times New Roman"/>
          <w:szCs w:val="26"/>
          <w:rtl w:val="true"/>
        </w:rPr>
        <w:t xml:space="preserve"> </w:t>
      </w:r>
      <w:r>
        <w:rPr>
          <w:rFonts w:cs="FrankRuehl"/>
          <w:szCs w:val="26"/>
          <w:rtl w:val="true"/>
        </w:rPr>
        <w:t>המאסר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Times New Roman"/>
          <w:szCs w:val="26"/>
          <w:rtl w:val="true"/>
        </w:rPr>
        <w:t xml:space="preserve"> </w:t>
      </w:r>
      <w:r>
        <w:rPr>
          <w:rFonts w:cs="FrankRuehl"/>
          <w:szCs w:val="26"/>
          <w:rtl w:val="true"/>
        </w:rPr>
        <w:t>התלוי</w:t>
      </w:r>
      <w:r>
        <w:rPr>
          <w:rFonts w:cs="Times New Roman"/>
          <w:szCs w:val="26"/>
          <w:rtl w:val="true"/>
        </w:rPr>
        <w:t xml:space="preserve"> </w:t>
      </w:r>
      <w:r>
        <w:rPr>
          <w:rFonts w:cs="FrankRuehl"/>
          <w:szCs w:val="26"/>
          <w:rtl w:val="true"/>
        </w:rPr>
        <w:t>ועומד</w:t>
      </w:r>
      <w:r>
        <w:rPr>
          <w:rFonts w:cs="Times New Roman"/>
          <w:szCs w:val="26"/>
          <w:rtl w:val="true"/>
        </w:rPr>
        <w:t xml:space="preserve"> </w:t>
      </w:r>
      <w:r>
        <w:rPr>
          <w:rFonts w:cs="FrankRuehl"/>
          <w:szCs w:val="26"/>
          <w:rtl w:val="true"/>
        </w:rPr>
        <w:t>בחלקו</w:t>
      </w:r>
      <w:r>
        <w:rPr>
          <w:rFonts w:cs="FrankRuehl"/>
          <w:szCs w:val="26"/>
          <w:rtl w:val="true"/>
        </w:rPr>
        <w:t>–</w:t>
      </w:r>
      <w:r>
        <w:rPr>
          <w:rFonts w:cs="Times New Roman"/>
          <w:szCs w:val="26"/>
          <w:rtl w:val="true"/>
        </w:rPr>
        <w:t xml:space="preserve"> </w:t>
      </w:r>
      <w:r>
        <w:rPr>
          <w:rFonts w:cs="FrankRuehl"/>
          <w:szCs w:val="26"/>
          <w:rtl w:val="true"/>
        </w:rPr>
        <w:t>דהיינו</w:t>
      </w:r>
      <w:r>
        <w:rPr>
          <w:rFonts w:cs="Times New Roman"/>
          <w:szCs w:val="26"/>
          <w:rtl w:val="true"/>
        </w:rPr>
        <w:t xml:space="preserve"> </w:t>
      </w:r>
      <w:r>
        <w:rPr>
          <w:rFonts w:cs="FrankRuehl"/>
          <w:szCs w:val="26"/>
        </w:rPr>
        <w:t>12</w:t>
      </w:r>
      <w:r>
        <w:rPr>
          <w:rFonts w:cs="FrankRuehl"/>
          <w:szCs w:val="26"/>
          <w:rtl w:val="true"/>
        </w:rPr>
        <w:t xml:space="preserve"> </w:t>
      </w:r>
      <w:r>
        <w:rPr>
          <w:rFonts w:cs="FrankRuehl"/>
          <w:szCs w:val="26"/>
          <w:rtl w:val="true"/>
        </w:rPr>
        <w:t>חודשים</w:t>
      </w:r>
      <w:r>
        <w:rPr>
          <w:rFonts w:cs="Times New Roman"/>
          <w:szCs w:val="26"/>
          <w:rtl w:val="true"/>
        </w:rPr>
        <w:t xml:space="preserve"> </w:t>
      </w:r>
      <w:r>
        <w:rPr>
          <w:rFonts w:cs="FrankRuehl"/>
          <w:szCs w:val="26"/>
          <w:rtl w:val="true"/>
        </w:rPr>
        <w:t>במצטבר</w:t>
      </w:r>
      <w:r>
        <w:rPr>
          <w:rFonts w:cs="Times New Roman"/>
          <w:szCs w:val="26"/>
          <w:rtl w:val="true"/>
        </w:rPr>
        <w:t xml:space="preserve"> </w:t>
      </w:r>
      <w:r>
        <w:rPr>
          <w:rFonts w:cs="FrankRuehl"/>
          <w:szCs w:val="26"/>
          <w:rtl w:val="true"/>
        </w:rPr>
        <w:t>וקנס</w:t>
      </w:r>
      <w:r>
        <w:rPr>
          <w:rFonts w:cs="Times New Roman"/>
          <w:szCs w:val="26"/>
          <w:rtl w:val="true"/>
        </w:rPr>
        <w:t xml:space="preserve"> </w:t>
      </w:r>
      <w:r>
        <w:rPr>
          <w:rFonts w:cs="FrankRuehl"/>
          <w:szCs w:val="26"/>
          <w:rtl w:val="true"/>
        </w:rPr>
        <w:t>בסך</w:t>
      </w:r>
      <w:r>
        <w:rPr>
          <w:rFonts w:cs="Times New Roman"/>
          <w:szCs w:val="26"/>
          <w:rtl w:val="true"/>
        </w:rPr>
        <w:t xml:space="preserve"> </w:t>
      </w:r>
      <w:r>
        <w:rPr>
          <w:rFonts w:cs="FrankRuehl"/>
          <w:szCs w:val="26"/>
        </w:rPr>
        <w:t>10,000</w:t>
      </w:r>
      <w:r>
        <w:rPr>
          <w:rFonts w:cs="FrankRuehl"/>
          <w:szCs w:val="26"/>
          <w:rtl w:val="true"/>
        </w:rPr>
        <w:t xml:space="preserve"> </w:t>
      </w:r>
      <w:r>
        <w:rPr>
          <w:rFonts w:eastAsia="FrankRuehl" w:cs="FrankRuehl" w:ascii="FrankRuehl" w:hAnsi="FrankRuehl"/>
          <w:szCs w:val="26"/>
          <w:rtl w:val="true"/>
        </w:rPr>
        <w:t>₪</w:t>
      </w:r>
      <w:r>
        <w:rPr>
          <w:rFonts w:cs="FrankRuehl"/>
          <w:szCs w:val="26"/>
          <w:rtl w:val="true"/>
        </w:rPr>
        <w:t>.</w:t>
      </w:r>
    </w:p>
    <w:p>
      <w:pPr>
        <w:pStyle w:val="Normal"/>
        <w:spacing w:lineRule="exact" w:line="240" w:before="120" w:after="120"/>
        <w:ind w:hanging="283" w:start="283" w:end="0"/>
        <w:jc w:val="both"/>
        <w:rPr>
          <w:rFonts w:ascii="FrankRuehl" w:hAnsi="FrankRuehl" w:cs="FrankRuehl"/>
          <w:szCs w:val="26"/>
        </w:rPr>
      </w:pPr>
      <w:r>
        <w:rPr>
          <w:rFonts w:cs="FrankRuehl" w:ascii="FrankRuehl" w:hAnsi="FrankRuehl"/>
          <w:szCs w:val="26"/>
          <w:rtl w:val="true"/>
        </w:rPr>
      </w:r>
      <w:bookmarkStart w:id="9" w:name="ABSTRACT_END"/>
      <w:bookmarkStart w:id="10" w:name="ABSTRACT_END"/>
      <w:bookmarkEnd w:id="10"/>
    </w:p>
    <w:p>
      <w:pPr>
        <w:pStyle w:val="Normal"/>
        <w:ind w:end="0"/>
        <w:jc w:val="center"/>
        <w:rPr>
          <w:rFonts w:ascii="Arial" w:hAnsi="Arial" w:cs="FrankRuehl"/>
          <w:sz w:val="32"/>
          <w:szCs w:val="32"/>
        </w:rPr>
      </w:pPr>
      <w:r>
        <w:rPr>
          <w:rFonts w:ascii="Arial" w:hAnsi="Arial" w:cs="FrankRuehl"/>
          <w:b/>
          <w:b/>
          <w:bCs/>
          <w:sz w:val="32"/>
          <w:sz w:val="32"/>
          <w:szCs w:val="32"/>
          <w:rtl w:val="true"/>
        </w:rPr>
        <w:t>גזר</w:t>
      </w:r>
      <w:r>
        <w:rPr>
          <w:rFonts w:ascii="Arial" w:hAnsi="Arial" w:eastAsia="Arial" w:cs="Arial"/>
          <w:b/>
          <w:b/>
          <w:bCs/>
          <w:sz w:val="32"/>
          <w:sz w:val="32"/>
          <w:szCs w:val="32"/>
          <w:rtl w:val="true"/>
        </w:rPr>
        <w:t xml:space="preserve"> </w:t>
      </w:r>
      <w:bookmarkEnd w:id="8"/>
      <w:r>
        <w:rPr>
          <w:rFonts w:ascii="Arial" w:hAnsi="Arial" w:cs="FrankRuehl"/>
          <w:b/>
          <w:b/>
          <w:bCs/>
          <w:sz w:val="32"/>
          <w:sz w:val="32"/>
          <w:szCs w:val="32"/>
          <w:rtl w:val="true"/>
        </w:rPr>
        <w:t>דין</w:t>
      </w:r>
    </w:p>
    <w:p>
      <w:pPr>
        <w:pStyle w:val="Normal"/>
        <w:spacing w:lineRule="auto" w:line="360"/>
        <w:ind w:hanging="720" w:start="720" w:end="0"/>
        <w:jc w:val="both"/>
        <w:rPr>
          <w:rFonts w:ascii="Arial" w:hAnsi="Arial" w:cs="Arial"/>
          <w:sz w:val="32"/>
          <w:szCs w:val="32"/>
        </w:rPr>
      </w:pPr>
      <w:r>
        <w:rPr>
          <w:rFonts w:cs="Arial" w:ascii="Arial" w:hAnsi="Arial"/>
          <w:sz w:val="32"/>
          <w:szCs w:val="32"/>
          <w:rtl w:val="true"/>
        </w:rPr>
      </w:r>
      <w:bookmarkStart w:id="11" w:name="LastJudge"/>
      <w:bookmarkStart w:id="12" w:name="LastJudge"/>
      <w:bookmarkEnd w:id="12"/>
    </w:p>
    <w:p>
      <w:pPr>
        <w:pStyle w:val="Normal"/>
        <w:spacing w:lineRule="auto" w:line="360"/>
        <w:ind w:hanging="720" w:start="720" w:end="0"/>
        <w:jc w:val="both"/>
        <w:rPr/>
      </w:pPr>
      <w:r>
        <w:rPr>
          <w:rFonts w:cs="Arial" w:ascii="Arial" w:hAnsi="Arial"/>
          <w:bCs/>
        </w:rPr>
        <w:t>1</w:t>
      </w:r>
      <w:r>
        <w:rPr>
          <w:rFonts w:cs="Arial" w:ascii="Arial" w:hAnsi="Arial"/>
          <w:bCs/>
          <w:rtl w:val="true"/>
        </w:rPr>
        <w:t xml:space="preserve">. </w:t>
      </w:r>
      <w:r>
        <w:rPr>
          <w:rFonts w:ascii="Arial" w:hAnsi="Arial" w:cs="Arial"/>
          <w:bCs/>
          <w:rtl w:val="true"/>
        </w:rPr>
        <w:t xml:space="preserve">הנאשם הודה במסגרת הסדר טיעון חלקי בביצוע עבירות של סחר בנשק לפי </w:t>
      </w:r>
      <w:hyperlink r:id="rId15">
        <w:r>
          <w:rPr>
            <w:rStyle w:val="Hyperlink"/>
            <w:rFonts w:ascii="Arial" w:hAnsi="Arial" w:cs="Arial"/>
            <w:bCs/>
            <w:color w:val="0000FF"/>
            <w:u w:val="single"/>
            <w:rtl w:val="true"/>
          </w:rPr>
          <w:t xml:space="preserve">סעיף </w:t>
        </w:r>
        <w:r>
          <w:rPr>
            <w:rStyle w:val="Hyperlink"/>
            <w:rFonts w:cs="Arial" w:ascii="Arial" w:hAnsi="Arial"/>
            <w:bCs/>
            <w:color w:val="0000FF"/>
            <w:u w:val="single"/>
          </w:rPr>
          <w:t>144</w:t>
        </w:r>
        <w:r>
          <w:rPr>
            <w:rStyle w:val="Hyperlink"/>
            <w:rFonts w:cs="Arial" w:ascii="Arial" w:hAnsi="Arial"/>
            <w:bCs/>
            <w:color w:val="0000FF"/>
            <w:u w:val="single"/>
            <w:rtl w:val="true"/>
          </w:rPr>
          <w:t>(</w:t>
        </w:r>
        <w:r>
          <w:rPr>
            <w:rStyle w:val="Hyperlink"/>
            <w:rFonts w:ascii="Arial" w:hAnsi="Arial" w:cs="Arial"/>
            <w:bCs/>
            <w:color w:val="0000FF"/>
            <w:u w:val="single"/>
            <w:rtl w:val="true"/>
          </w:rPr>
          <w:t>ב</w:t>
        </w:r>
        <w:r>
          <w:rPr>
            <w:rStyle w:val="Hyperlink"/>
            <w:rFonts w:cs="Arial" w:ascii="Arial" w:hAnsi="Arial"/>
            <w:bCs/>
            <w:color w:val="0000FF"/>
            <w:u w:val="single"/>
          </w:rPr>
          <w:t>2</w:t>
        </w:r>
        <w:r>
          <w:rPr>
            <w:rStyle w:val="Hyperlink"/>
            <w:rFonts w:cs="Arial" w:ascii="Arial" w:hAnsi="Arial"/>
            <w:bCs/>
            <w:color w:val="0000FF"/>
            <w:u w:val="single"/>
            <w:rtl w:val="true"/>
          </w:rPr>
          <w:t>)</w:t>
        </w:r>
      </w:hyperlink>
    </w:p>
    <w:p>
      <w:pPr>
        <w:pStyle w:val="Normal"/>
        <w:spacing w:lineRule="auto" w:line="360"/>
        <w:ind w:start="720" w:end="0"/>
        <w:jc w:val="both"/>
        <w:rPr>
          <w:rFonts w:ascii="Arial" w:hAnsi="Arial" w:cs="Arial"/>
        </w:rPr>
      </w:pPr>
      <w:hyperlink r:id="rId16">
        <w:r>
          <w:rPr>
            <w:rStyle w:val="Hyperlink"/>
            <w:rFonts w:cs="Arial" w:ascii="Arial" w:hAnsi="Arial"/>
            <w:bCs/>
            <w:color w:val="0000FF"/>
            <w:u w:val="single"/>
            <w:rtl w:val="true"/>
          </w:rPr>
          <w:t>(</w:t>
        </w:r>
        <w:r>
          <w:rPr>
            <w:rStyle w:val="Hyperlink"/>
            <w:rFonts w:ascii="Arial" w:hAnsi="Arial" w:cs="Arial"/>
            <w:bCs/>
            <w:color w:val="0000FF"/>
            <w:u w:val="single"/>
            <w:rtl w:val="true"/>
          </w:rPr>
          <w:t>ג</w:t>
        </w:r>
        <w:r>
          <w:rPr>
            <w:rStyle w:val="Hyperlink"/>
            <w:rFonts w:cs="Arial" w:ascii="Arial" w:hAnsi="Arial"/>
            <w:bCs/>
            <w:color w:val="0000FF"/>
            <w:u w:val="single"/>
            <w:rtl w:val="true"/>
          </w:rPr>
          <w:t>)</w:t>
        </w:r>
      </w:hyperlink>
      <w:r>
        <w:rPr>
          <w:rFonts w:cs="Arial" w:ascii="Arial" w:hAnsi="Arial"/>
          <w:rtl w:val="true"/>
        </w:rPr>
        <w:t xml:space="preserve"> </w:t>
      </w:r>
      <w:r>
        <w:rPr>
          <w:rFonts w:ascii="Arial" w:hAnsi="Arial" w:cs="Arial"/>
          <w:rtl w:val="true"/>
        </w:rPr>
        <w:t>ל</w:t>
      </w:r>
      <w:hyperlink r:id="rId17">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 xml:space="preserve">עבירות בנשק </w:t>
      </w:r>
      <w:r>
        <w:rPr>
          <w:rFonts w:cs="Arial" w:ascii="Arial" w:hAnsi="Arial"/>
          <w:rtl w:val="true"/>
        </w:rPr>
        <w:t>(</w:t>
      </w:r>
      <w:r>
        <w:rPr>
          <w:rFonts w:ascii="Arial" w:hAnsi="Arial" w:cs="Arial"/>
          <w:rtl w:val="true"/>
        </w:rPr>
        <w:t>החזקה</w:t>
      </w:r>
      <w:r>
        <w:rPr>
          <w:rFonts w:cs="Arial" w:ascii="Arial" w:hAnsi="Arial"/>
          <w:rtl w:val="true"/>
        </w:rPr>
        <w:t xml:space="preserve">+ </w:t>
      </w:r>
      <w:r>
        <w:rPr>
          <w:rFonts w:ascii="Arial" w:hAnsi="Arial" w:cs="Arial"/>
          <w:rtl w:val="true"/>
        </w:rPr>
        <w:t>נשיאה</w:t>
      </w:r>
      <w:r>
        <w:rPr>
          <w:rFonts w:cs="Arial" w:ascii="Arial" w:hAnsi="Arial"/>
          <w:rtl w:val="true"/>
        </w:rPr>
        <w:t xml:space="preserve">) </w:t>
      </w:r>
      <w:r>
        <w:rPr>
          <w:rFonts w:ascii="Arial" w:hAnsi="Arial" w:cs="Arial"/>
          <w:rtl w:val="true"/>
        </w:rPr>
        <w:t xml:space="preserve">לפי </w:t>
      </w:r>
      <w:hyperlink r:id="rId18">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רישא</w:t>
      </w:r>
      <w:r>
        <w:rPr>
          <w:rFonts w:cs="Arial" w:ascii="Arial" w:hAnsi="Arial"/>
          <w:rtl w:val="true"/>
        </w:rPr>
        <w:t xml:space="preserve">+ </w:t>
      </w:r>
      <w:r>
        <w:rPr>
          <w:rFonts w:ascii="Arial" w:hAnsi="Arial" w:cs="Arial"/>
          <w:rtl w:val="true"/>
        </w:rPr>
        <w:t>סיפא</w:t>
      </w:r>
      <w:r>
        <w:rPr>
          <w:rFonts w:cs="Arial" w:ascii="Arial" w:hAnsi="Arial"/>
          <w:rtl w:val="true"/>
        </w:rPr>
        <w:t xml:space="preserve">+ </w:t>
      </w:r>
      <w:hyperlink r:id="rId19">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רישא </w:t>
      </w:r>
      <w:r>
        <w:rPr>
          <w:rFonts w:cs="Arial" w:ascii="Arial" w:hAnsi="Arial"/>
          <w:rtl w:val="true"/>
        </w:rPr>
        <w:t xml:space="preserve">+ </w:t>
      </w:r>
      <w:r>
        <w:rPr>
          <w:rFonts w:ascii="Arial" w:hAnsi="Arial" w:cs="Arial"/>
          <w:rtl w:val="true"/>
        </w:rPr>
        <w:t>סיפא לחוק</w:t>
      </w:r>
      <w:r>
        <w:rPr>
          <w:rFonts w:cs="Arial" w:ascii="Arial" w:hAnsi="Arial"/>
          <w:rtl w:val="true"/>
        </w:rPr>
        <w:t xml:space="preserve">; </w:t>
      </w:r>
      <w:r>
        <w:rPr>
          <w:rFonts w:ascii="Arial" w:hAnsi="Arial" w:cs="Arial"/>
          <w:rtl w:val="true"/>
        </w:rPr>
        <w:t xml:space="preserve">נהיגה ללא רישיון נהיגה בתוקף לפי סעיף </w:t>
      </w:r>
      <w:hyperlink r:id="rId20">
        <w:r>
          <w:rPr>
            <w:rStyle w:val="Hyperlink"/>
            <w:rFonts w:cs="Arial" w:ascii="Arial" w:hAnsi="Arial"/>
            <w:color w:val="0000FF"/>
            <w:u w:val="single"/>
          </w:rPr>
          <w:t>10</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xml:space="preserve">)+ </w:t>
        </w:r>
        <w:r>
          <w:rPr>
            <w:rStyle w:val="Hyperlink"/>
            <w:rFonts w:cs="Arial" w:ascii="Arial" w:hAnsi="Arial"/>
            <w:color w:val="0000FF"/>
            <w:u w:val="single"/>
          </w:rPr>
          <w:t>62</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21">
        <w:r>
          <w:rPr>
            <w:rStyle w:val="Hyperlink"/>
            <w:rFonts w:ascii="Arial" w:hAnsi="Arial" w:cs="Arial"/>
            <w:color w:val="0000FF"/>
            <w:u w:val="single"/>
            <w:rtl w:val="true"/>
          </w:rPr>
          <w:t>פקודת התעבורה</w:t>
        </w:r>
      </w:hyperlink>
      <w:r>
        <w:rPr>
          <w:rFonts w:ascii="Arial" w:hAnsi="Arial" w:cs="Arial"/>
          <w:rtl w:val="true"/>
        </w:rPr>
        <w:t xml:space="preserve"> נ</w:t>
      </w:r>
      <w:r>
        <w:rPr>
          <w:rFonts w:cs="Arial" w:ascii="Arial" w:hAnsi="Arial"/>
          <w:rtl w:val="true"/>
        </w:rPr>
        <w:t>"</w:t>
      </w:r>
      <w:r>
        <w:rPr>
          <w:rFonts w:ascii="Arial" w:hAnsi="Arial" w:cs="Arial"/>
          <w:rtl w:val="true"/>
        </w:rPr>
        <w:t xml:space="preserve">ח וחובת פוליסה לפי סעיף </w:t>
      </w:r>
      <w:hyperlink r:id="rId22">
        <w:r>
          <w:rPr>
            <w:rStyle w:val="Hyperlink"/>
            <w:rFonts w:cs="Arial" w:ascii="Arial" w:hAnsi="Arial"/>
            <w:color w:val="0000FF"/>
            <w:u w:val="single"/>
          </w:rPr>
          <w:t>2</w:t>
        </w:r>
      </w:hyperlink>
      <w:r>
        <w:rPr>
          <w:rFonts w:cs="Arial" w:ascii="Arial" w:hAnsi="Arial"/>
          <w:rtl w:val="true"/>
        </w:rPr>
        <w:t xml:space="preserve"> </w:t>
      </w:r>
      <w:r>
        <w:rPr>
          <w:rFonts w:ascii="Arial" w:hAnsi="Arial" w:cs="Arial"/>
          <w:rtl w:val="true"/>
        </w:rPr>
        <w:t>ל</w:t>
      </w:r>
      <w:hyperlink r:id="rId23">
        <w:r>
          <w:rPr>
            <w:rStyle w:val="Hyperlink"/>
            <w:rFonts w:ascii="Arial" w:hAnsi="Arial" w:cs="Arial"/>
            <w:color w:val="0000FF"/>
            <w:u w:val="single"/>
            <w:rtl w:val="true"/>
          </w:rPr>
          <w:t>פקודת ביטוח רכב מנועי</w:t>
        </w:r>
      </w:hyperlink>
      <w:r>
        <w:rPr>
          <w:rFonts w:ascii="Arial" w:hAnsi="Arial" w:cs="Arial"/>
          <w:rtl w:val="true"/>
        </w:rPr>
        <w:t xml:space="preserve"> נ</w:t>
      </w:r>
      <w:r>
        <w:rPr>
          <w:rFonts w:cs="Arial" w:ascii="Arial" w:hAnsi="Arial"/>
          <w:rtl w:val="true"/>
        </w:rPr>
        <w:t>"</w:t>
      </w:r>
      <w:r>
        <w:rPr>
          <w:rFonts w:ascii="Arial" w:hAnsi="Arial" w:cs="Arial"/>
          <w:rtl w:val="true"/>
        </w:rPr>
        <w:t>ח</w:t>
      </w:r>
      <w:r>
        <w:rPr>
          <w:rFonts w:cs="Arial" w:ascii="Arial" w:hAnsi="Arial"/>
          <w:rtl w:val="true"/>
        </w:rPr>
        <w:t xml:space="preserve">.  </w:t>
      </w:r>
      <w:r>
        <w:rPr>
          <w:rFonts w:ascii="Arial" w:hAnsi="Arial" w:cs="Arial"/>
          <w:rtl w:val="true"/>
        </w:rPr>
        <w:t>ההסדר לא כלל הסדר בנוגע לעונש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על פי האמור בכתב האישום המתוקן</w:t>
      </w:r>
      <w:r>
        <w:rPr>
          <w:rFonts w:cs="Arial" w:ascii="Arial" w:hAnsi="Arial"/>
          <w:rtl w:val="true"/>
        </w:rPr>
        <w:t xml:space="preserve">, </w:t>
      </w:r>
      <w:r>
        <w:rPr>
          <w:rFonts w:ascii="Arial" w:hAnsi="Arial" w:cs="Arial"/>
          <w:rtl w:val="true"/>
        </w:rPr>
        <w:t>במועדים הרלבנטיים הפעילה המדינה סוכן סמוי</w:t>
      </w:r>
      <w:r>
        <w:rPr>
          <w:rFonts w:cs="Arial" w:ascii="Arial" w:hAnsi="Arial"/>
          <w:rtl w:val="true"/>
        </w:rPr>
        <w:t xml:space="preserve">. </w:t>
      </w:r>
      <w:r>
        <w:rPr>
          <w:rFonts w:ascii="Arial" w:hAnsi="Arial" w:cs="Arial"/>
          <w:rtl w:val="true"/>
        </w:rPr>
        <w:t>בין הנאשם לסוכן הייתה היכרות מוקדמת לפני האירועים נשוא כתב האישום</w:t>
      </w:r>
      <w:r>
        <w:rPr>
          <w:rFonts w:cs="Arial" w:ascii="Arial" w:hAnsi="Arial"/>
          <w:rtl w:val="true"/>
        </w:rPr>
        <w:t xml:space="preserve">. </w:t>
      </w:r>
      <w:r>
        <w:rPr>
          <w:rFonts w:ascii="Arial" w:hAnsi="Arial" w:cs="Arial"/>
          <w:rtl w:val="true"/>
        </w:rPr>
        <w:t xml:space="preserve">החל מיום </w:t>
      </w:r>
      <w:r>
        <w:rPr>
          <w:rFonts w:cs="Arial" w:ascii="Arial" w:hAnsi="Arial"/>
        </w:rPr>
        <w:t>25.9.14</w:t>
      </w:r>
      <w:r>
        <w:rPr>
          <w:rFonts w:cs="Arial" w:ascii="Arial" w:hAnsi="Arial"/>
          <w:rtl w:val="true"/>
        </w:rPr>
        <w:t xml:space="preserve"> </w:t>
      </w:r>
      <w:r>
        <w:rPr>
          <w:rFonts w:ascii="Arial" w:hAnsi="Arial" w:cs="Arial"/>
          <w:rtl w:val="true"/>
        </w:rPr>
        <w:t>בוטל רישיון הנהיגה של הנאשם ובמועדים הרלבנטיים לכתב האישום הוא נהג ברכב ללא רישיון תקף וללא פוליסת ביטוח תקפה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 xml:space="preserve">ביום </w:t>
      </w:r>
      <w:r>
        <w:rPr>
          <w:rFonts w:cs="Arial" w:ascii="Arial" w:hAnsi="Arial"/>
        </w:rPr>
        <w:t>17.1.18</w:t>
      </w:r>
      <w:r>
        <w:rPr>
          <w:rFonts w:cs="Arial" w:ascii="Arial" w:hAnsi="Arial"/>
          <w:rtl w:val="true"/>
        </w:rPr>
        <w:t xml:space="preserve"> </w:t>
      </w:r>
      <w:r>
        <w:rPr>
          <w:rFonts w:ascii="Arial" w:hAnsi="Arial" w:cs="Arial"/>
          <w:rtl w:val="true"/>
        </w:rPr>
        <w:t>התקשר הנאשם לסוכן וביקש להיפגש איתו</w:t>
      </w:r>
      <w:r>
        <w:rPr>
          <w:rFonts w:cs="Arial" w:ascii="Arial" w:hAnsi="Arial"/>
          <w:rtl w:val="true"/>
        </w:rPr>
        <w:t xml:space="preserve">. </w:t>
      </w:r>
      <w:r>
        <w:rPr>
          <w:rFonts w:ascii="Arial" w:hAnsi="Arial" w:cs="Arial"/>
          <w:rtl w:val="true"/>
        </w:rPr>
        <w:t>למחרת יצר הסוכן קשר עם הנאשם וקבעו להיפגש בערב בכפר כנא בביתו של הנאשם</w:t>
      </w:r>
      <w:r>
        <w:rPr>
          <w:rFonts w:cs="Arial" w:ascii="Arial" w:hAnsi="Arial"/>
          <w:rtl w:val="true"/>
        </w:rPr>
        <w:t xml:space="preserve">. </w:t>
      </w:r>
      <w:r>
        <w:rPr>
          <w:rFonts w:ascii="Arial" w:hAnsi="Arial" w:cs="Arial"/>
          <w:rtl w:val="true"/>
        </w:rPr>
        <w:t>באותו ערב השניים נפגשו בכפר כנא בסמוך למסעדה שהייתה במקום כאשר הנאשם הגיע נוהג ברכב</w:t>
      </w:r>
      <w:r>
        <w:rPr>
          <w:rFonts w:cs="Arial" w:ascii="Arial" w:hAnsi="Arial"/>
          <w:rtl w:val="true"/>
        </w:rPr>
        <w:t xml:space="preserve">. </w:t>
      </w:r>
      <w:r>
        <w:rPr>
          <w:rFonts w:ascii="Arial" w:hAnsi="Arial" w:cs="Arial"/>
          <w:rtl w:val="true"/>
        </w:rPr>
        <w:t>משם נסעו לביתו כאשר הסוכן נוסע בעקבותיו</w:t>
      </w:r>
      <w:r>
        <w:rPr>
          <w:rFonts w:cs="Arial" w:ascii="Arial" w:hAnsi="Arial"/>
          <w:rtl w:val="true"/>
        </w:rPr>
        <w:t xml:space="preserve">. </w:t>
      </w:r>
      <w:r>
        <w:rPr>
          <w:rFonts w:ascii="Arial" w:hAnsi="Arial" w:cs="Arial"/>
          <w:rtl w:val="true"/>
        </w:rPr>
        <w:t>בשלב זה הצטרף אחר</w:t>
      </w:r>
      <w:r>
        <w:rPr>
          <w:rFonts w:cs="Arial" w:ascii="Arial" w:hAnsi="Arial"/>
          <w:rtl w:val="true"/>
        </w:rPr>
        <w:t xml:space="preserve">, </w:t>
      </w:r>
      <w:r>
        <w:rPr>
          <w:rFonts w:ascii="Arial" w:hAnsi="Arial" w:cs="Arial"/>
          <w:rtl w:val="true"/>
        </w:rPr>
        <w:t>והשניים הציעו למכור לסוכן נשק</w:t>
      </w:r>
      <w:r>
        <w:rPr>
          <w:rFonts w:cs="Arial" w:ascii="Arial" w:hAnsi="Arial"/>
          <w:rtl w:val="true"/>
        </w:rPr>
        <w:t xml:space="preserve">, </w:t>
      </w:r>
      <w:r>
        <w:rPr>
          <w:rFonts w:ascii="Arial" w:hAnsi="Arial" w:cs="Arial"/>
          <w:rtl w:val="true"/>
        </w:rPr>
        <w:t>רובה סער מסוג קלצ</w:t>
      </w:r>
      <w:r>
        <w:rPr>
          <w:rFonts w:cs="Arial" w:ascii="Arial" w:hAnsi="Arial"/>
          <w:rtl w:val="true"/>
        </w:rPr>
        <w:t>'</w:t>
      </w:r>
      <w:r>
        <w:rPr>
          <w:rFonts w:ascii="Arial" w:hAnsi="Arial" w:cs="Arial"/>
          <w:rtl w:val="true"/>
        </w:rPr>
        <w:t>ניקוב</w:t>
      </w:r>
      <w:r>
        <w:rPr>
          <w:rFonts w:cs="Arial" w:ascii="Arial" w:hAnsi="Arial"/>
          <w:rtl w:val="true"/>
        </w:rPr>
        <w:t xml:space="preserve">, </w:t>
      </w:r>
      <w:r>
        <w:rPr>
          <w:rFonts w:ascii="Arial" w:hAnsi="Arial" w:cs="Arial"/>
          <w:rtl w:val="true"/>
        </w:rPr>
        <w:t>מטעני חבלה ואקדח</w:t>
      </w:r>
      <w:r>
        <w:rPr>
          <w:rFonts w:cs="Arial" w:ascii="Arial" w:hAnsi="Arial"/>
          <w:rtl w:val="true"/>
        </w:rPr>
        <w:t xml:space="preserve">. </w:t>
      </w:r>
      <w:r>
        <w:rPr>
          <w:rFonts w:ascii="Arial" w:hAnsi="Arial" w:cs="Arial"/>
          <w:rtl w:val="true"/>
        </w:rPr>
        <w:t>בהמשך קבע הנאשם להיפגש עם הסוכן פעם נוספת ואמר שיסעו ליער שם יבצעו ניסוי כלים בנשק</w:t>
      </w:r>
      <w:r>
        <w:rPr>
          <w:rFonts w:cs="Arial" w:ascii="Arial" w:hAnsi="Arial"/>
          <w:rtl w:val="true"/>
        </w:rPr>
        <w:t xml:space="preserve">. </w:t>
      </w:r>
      <w:r>
        <w:rPr>
          <w:rFonts w:ascii="Arial" w:hAnsi="Arial" w:cs="Arial"/>
          <w:rtl w:val="true"/>
        </w:rPr>
        <w:t>למחרת</w:t>
      </w:r>
      <w:r>
        <w:rPr>
          <w:rFonts w:cs="Arial" w:ascii="Arial" w:hAnsi="Arial"/>
          <w:rtl w:val="true"/>
        </w:rPr>
        <w:t xml:space="preserve">, </w:t>
      </w:r>
      <w:r>
        <w:rPr>
          <w:rFonts w:ascii="Arial" w:hAnsi="Arial" w:cs="Arial"/>
          <w:rtl w:val="true"/>
        </w:rPr>
        <w:t xml:space="preserve">קבעו פעם נוספת להיפגש והנאשם הבטיח לסוכן שיש לו </w:t>
      </w:r>
      <w:r>
        <w:rPr>
          <w:rFonts w:cs="Arial" w:ascii="Arial" w:hAnsi="Arial"/>
          <w:rtl w:val="true"/>
        </w:rPr>
        <w:t>"</w:t>
      </w:r>
      <w:r>
        <w:rPr>
          <w:rFonts w:ascii="Arial" w:hAnsi="Arial" w:cs="Arial"/>
          <w:rtl w:val="true"/>
        </w:rPr>
        <w:t>משהו טוב</w:t>
      </w:r>
      <w:r>
        <w:rPr>
          <w:rFonts w:cs="Arial" w:ascii="Arial" w:hAnsi="Arial"/>
          <w:rtl w:val="true"/>
        </w:rPr>
        <w:t xml:space="preserve">" </w:t>
      </w:r>
      <w:r>
        <w:rPr>
          <w:rFonts w:ascii="Arial" w:hAnsi="Arial" w:cs="Arial"/>
          <w:rtl w:val="true"/>
        </w:rPr>
        <w:t>עבורו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השניים נפגשו בשעות הערב ב</w:t>
      </w:r>
      <w:r>
        <w:rPr>
          <w:rFonts w:cs="Arial" w:ascii="Arial" w:hAnsi="Arial"/>
          <w:rtl w:val="true"/>
        </w:rPr>
        <w:t>-</w:t>
      </w:r>
      <w:r>
        <w:rPr>
          <w:rFonts w:cs="Arial" w:ascii="Arial" w:hAnsi="Arial"/>
        </w:rPr>
        <w:t>21:18</w:t>
      </w:r>
      <w:r>
        <w:rPr>
          <w:rFonts w:cs="Arial" w:ascii="Arial" w:hAnsi="Arial"/>
          <w:rtl w:val="true"/>
        </w:rPr>
        <w:t xml:space="preserve"> </w:t>
      </w:r>
      <w:r>
        <w:rPr>
          <w:rFonts w:ascii="Arial" w:hAnsi="Arial" w:cs="Arial"/>
          <w:rtl w:val="true"/>
        </w:rPr>
        <w:t>בביתו של הנאשם</w:t>
      </w:r>
      <w:r>
        <w:rPr>
          <w:rFonts w:cs="Arial" w:ascii="Arial" w:hAnsi="Arial"/>
          <w:rtl w:val="true"/>
        </w:rPr>
        <w:t xml:space="preserve">, </w:t>
      </w:r>
      <w:r>
        <w:rPr>
          <w:rFonts w:ascii="Arial" w:hAnsi="Arial" w:cs="Arial"/>
          <w:rtl w:val="true"/>
        </w:rPr>
        <w:t xml:space="preserve">אז הוציא הנאשם מהחנייה בחצר ביתו תת מקלע מסוג </w:t>
      </w:r>
      <w:r>
        <w:rPr>
          <w:rFonts w:cs="Arial" w:ascii="Arial" w:hAnsi="Arial"/>
        </w:rPr>
        <w:t>CZ</w:t>
      </w:r>
      <w:r>
        <w:rPr>
          <w:rFonts w:cs="Arial" w:ascii="Arial" w:hAnsi="Arial"/>
          <w:rtl w:val="true"/>
        </w:rPr>
        <w:t xml:space="preserve"> </w:t>
      </w:r>
      <w:r>
        <w:rPr>
          <w:rFonts w:cs="Arial" w:ascii="Arial" w:hAnsi="Arial"/>
          <w:rtl w:val="true"/>
        </w:rPr>
        <w:t xml:space="preserve"> </w:t>
      </w:r>
      <w:r>
        <w:rPr>
          <w:rFonts w:ascii="Arial" w:hAnsi="Arial" w:cs="Arial"/>
          <w:rtl w:val="true"/>
        </w:rPr>
        <w:t>ומחסנית ריקה שתואמת לנשק</w:t>
      </w:r>
      <w:r>
        <w:rPr>
          <w:rFonts w:cs="Arial" w:ascii="Arial" w:hAnsi="Arial"/>
          <w:rtl w:val="true"/>
        </w:rPr>
        <w:t xml:space="preserve">. </w:t>
      </w:r>
      <w:r>
        <w:rPr>
          <w:rFonts w:ascii="Arial" w:hAnsi="Arial" w:cs="Arial"/>
          <w:rtl w:val="true"/>
        </w:rPr>
        <w:t>השניים נכנסו לסלון הבית שם שהו באותה עת ילדיו הקטינים של הנאשם</w:t>
      </w:r>
      <w:r>
        <w:rPr>
          <w:rFonts w:cs="Arial" w:ascii="Arial" w:hAnsi="Arial"/>
          <w:rtl w:val="true"/>
        </w:rPr>
        <w:t xml:space="preserve">. </w:t>
      </w:r>
      <w:r>
        <w:rPr>
          <w:rFonts w:ascii="Arial" w:hAnsi="Arial" w:cs="Arial"/>
          <w:rtl w:val="true"/>
        </w:rPr>
        <w:t>בסלון</w:t>
      </w:r>
      <w:r>
        <w:rPr>
          <w:rFonts w:cs="Arial" w:ascii="Arial" w:hAnsi="Arial"/>
          <w:rtl w:val="true"/>
        </w:rPr>
        <w:t xml:space="preserve">, </w:t>
      </w:r>
      <w:r>
        <w:rPr>
          <w:rFonts w:ascii="Arial" w:hAnsi="Arial" w:cs="Arial"/>
          <w:rtl w:val="true"/>
        </w:rPr>
        <w:t>בעוד הילדים נמצאים במקום</w:t>
      </w:r>
      <w:r>
        <w:rPr>
          <w:rFonts w:cs="Arial" w:ascii="Arial" w:hAnsi="Arial"/>
          <w:rtl w:val="true"/>
        </w:rPr>
        <w:t xml:space="preserve">, </w:t>
      </w:r>
      <w:r>
        <w:rPr>
          <w:rFonts w:ascii="Arial" w:hAnsi="Arial" w:cs="Arial"/>
          <w:rtl w:val="true"/>
        </w:rPr>
        <w:t>הסביר הנאשם לסוכן על התת מקלע</w:t>
      </w:r>
      <w:r>
        <w:rPr>
          <w:rFonts w:cs="Arial" w:ascii="Arial" w:hAnsi="Arial"/>
          <w:rtl w:val="true"/>
        </w:rPr>
        <w:t xml:space="preserve">, </w:t>
      </w:r>
      <w:r>
        <w:rPr>
          <w:rFonts w:ascii="Arial" w:hAnsi="Arial" w:cs="Arial"/>
          <w:rtl w:val="true"/>
        </w:rPr>
        <w:t xml:space="preserve">על המחסנית ועל השימוש בהם והדגים את השימוש בנשק </w:t>
      </w:r>
      <w:r>
        <w:rPr>
          <w:rFonts w:cs="Arial" w:ascii="Arial" w:hAnsi="Arial"/>
          <w:rtl w:val="true"/>
        </w:rPr>
        <w:t>(</w:t>
      </w:r>
      <w:r>
        <w:rPr>
          <w:rFonts w:ascii="Arial" w:hAnsi="Arial" w:cs="Arial"/>
          <w:rtl w:val="true"/>
        </w:rPr>
        <w:t>על יבש</w:t>
      </w:r>
      <w:r>
        <w:rPr>
          <w:rFonts w:cs="Arial" w:ascii="Arial" w:hAnsi="Arial"/>
          <w:rtl w:val="true"/>
        </w:rPr>
        <w:t xml:space="preserve">). </w:t>
      </w:r>
      <w:r>
        <w:rPr>
          <w:rFonts w:ascii="Arial" w:hAnsi="Arial" w:cs="Arial"/>
          <w:rtl w:val="true"/>
        </w:rPr>
        <w:t xml:space="preserve">הסוכן שילם לנאשם סך של </w:t>
      </w:r>
      <w:r>
        <w:rPr>
          <w:rFonts w:cs="Arial" w:ascii="Arial" w:hAnsi="Arial"/>
        </w:rPr>
        <w:t>20,000</w:t>
      </w:r>
      <w:r>
        <w:rPr>
          <w:rFonts w:cs="Arial" w:ascii="Arial" w:hAnsi="Arial"/>
          <w:rtl w:val="true"/>
        </w:rPr>
        <w:t xml:space="preserve"> ₪ </w:t>
      </w:r>
      <w:r>
        <w:rPr>
          <w:rFonts w:ascii="Arial" w:hAnsi="Arial" w:cs="Arial"/>
          <w:rtl w:val="true"/>
        </w:rPr>
        <w:t>במזומן והנאשם ניקה את הנשק באמצעות נייר</w:t>
      </w:r>
      <w:r>
        <w:rPr>
          <w:rFonts w:cs="Arial" w:ascii="Arial" w:hAnsi="Arial"/>
          <w:rtl w:val="true"/>
        </w:rPr>
        <w:t xml:space="preserve">, </w:t>
      </w:r>
      <w:r>
        <w:rPr>
          <w:rFonts w:ascii="Arial" w:hAnsi="Arial" w:cs="Arial"/>
          <w:rtl w:val="true"/>
        </w:rPr>
        <w:t>עטף אותו בניילון נצמד על מנת לנקות דנ</w:t>
      </w:r>
      <w:r>
        <w:rPr>
          <w:rFonts w:cs="Arial" w:ascii="Arial" w:hAnsi="Arial"/>
          <w:rtl w:val="true"/>
        </w:rPr>
        <w:t>"</w:t>
      </w:r>
      <w:r>
        <w:rPr>
          <w:rFonts w:ascii="Arial" w:hAnsi="Arial" w:cs="Arial"/>
          <w:rtl w:val="true"/>
        </w:rPr>
        <w:t>א וט</w:t>
      </w:r>
      <w:r>
        <w:rPr>
          <w:rFonts w:cs="Arial" w:ascii="Arial" w:hAnsi="Arial"/>
          <w:rtl w:val="true"/>
        </w:rPr>
        <w:t>"</w:t>
      </w:r>
      <w:r>
        <w:rPr>
          <w:rFonts w:ascii="Arial" w:hAnsi="Arial" w:cs="Arial"/>
          <w:rtl w:val="true"/>
        </w:rPr>
        <w:t>א מהנשק ומסרו לסוכן</w:t>
      </w:r>
      <w:r>
        <w:rPr>
          <w:rFonts w:cs="Arial" w:ascii="Arial" w:hAnsi="Arial"/>
          <w:rtl w:val="true"/>
        </w:rPr>
        <w:t xml:space="preserve">. </w:t>
      </w:r>
      <w:r>
        <w:rPr>
          <w:rFonts w:ascii="Arial" w:hAnsi="Arial" w:cs="Arial"/>
          <w:rtl w:val="true"/>
        </w:rPr>
        <w:t>עוד במהלך פגישה זו חזר הנאשם והציע למכור לסוכן אמצעי לחימה שונים כולל לבנות חבלה</w:t>
      </w:r>
      <w:r>
        <w:rPr>
          <w:rFonts w:cs="Arial" w:ascii="Arial" w:hAnsi="Arial"/>
          <w:rtl w:val="true"/>
        </w:rPr>
        <w:t xml:space="preserve">, </w:t>
      </w:r>
      <w:r>
        <w:rPr>
          <w:rFonts w:ascii="Arial" w:hAnsi="Arial" w:cs="Arial"/>
          <w:rtl w:val="true"/>
        </w:rPr>
        <w:t xml:space="preserve">נפצים ורובה סער </w:t>
      </w:r>
      <w:r>
        <w:rPr>
          <w:rFonts w:cs="Arial" w:ascii="Arial" w:hAnsi="Arial"/>
        </w:rPr>
        <w:t>MP44</w:t>
      </w:r>
      <w:r>
        <w:rPr>
          <w:rFonts w:cs="Arial" w:ascii="Arial" w:hAnsi="Arial"/>
          <w:rtl w:val="true"/>
        </w:rPr>
        <w:t xml:space="preserve"> . </w:t>
      </w:r>
      <w:r>
        <w:rPr>
          <w:rFonts w:ascii="Arial" w:hAnsi="Arial" w:cs="Arial"/>
          <w:rtl w:val="true"/>
        </w:rPr>
        <w:t>הוא הוציא מכיסו חפץ הנחזה להיות אקדח והציגו לסוכן</w:t>
      </w:r>
      <w:r>
        <w:rPr>
          <w:rFonts w:cs="Arial" w:ascii="Arial" w:hAnsi="Arial"/>
          <w:rtl w:val="true"/>
        </w:rPr>
        <w:t xml:space="preserve">, </w:t>
      </w:r>
      <w:r>
        <w:rPr>
          <w:rFonts w:ascii="Arial" w:hAnsi="Arial" w:cs="Arial"/>
          <w:rtl w:val="true"/>
        </w:rPr>
        <w:t xml:space="preserve">ואמר לו שהוא מוכר אותו תמורת </w:t>
      </w:r>
      <w:r>
        <w:rPr>
          <w:rFonts w:cs="Arial" w:ascii="Arial" w:hAnsi="Arial"/>
        </w:rPr>
        <w:t>18,000</w:t>
      </w:r>
      <w:r>
        <w:rPr>
          <w:rFonts w:cs="Arial" w:ascii="Arial" w:hAnsi="Arial"/>
          <w:rtl w:val="true"/>
        </w:rPr>
        <w:t xml:space="preserve"> ₪ </w:t>
      </w:r>
      <w:r>
        <w:rPr>
          <w:rFonts w:ascii="Arial" w:hAnsi="Arial" w:cs="Arial"/>
          <w:rtl w:val="true"/>
        </w:rPr>
        <w:t>וישיג לסוכן אקדח כזה</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בהליך זה התנהלו מספר לא מועט של ישיבות הוכחות עד שבסופו של דבר החליט הנאשם להודות בכתב האישום המתוקן</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 המדינה לעונש</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 xml:space="preserve">המדינה ציינה כי לחובת הנאשם </w:t>
      </w:r>
      <w:r>
        <w:rPr>
          <w:rFonts w:cs="Arial" w:ascii="Arial" w:hAnsi="Arial"/>
        </w:rPr>
        <w:t>9</w:t>
      </w:r>
      <w:r>
        <w:rPr>
          <w:rFonts w:cs="Arial" w:ascii="Arial" w:hAnsi="Arial"/>
          <w:rtl w:val="true"/>
        </w:rPr>
        <w:t xml:space="preserve"> </w:t>
      </w:r>
      <w:r>
        <w:rPr>
          <w:rFonts w:ascii="Arial" w:hAnsi="Arial" w:cs="Arial"/>
          <w:rtl w:val="true"/>
        </w:rPr>
        <w:t>הרשעות קודמות בעבירות נשק</w:t>
      </w:r>
      <w:r>
        <w:rPr>
          <w:rFonts w:cs="Arial" w:ascii="Arial" w:hAnsi="Arial"/>
          <w:rtl w:val="true"/>
        </w:rPr>
        <w:t xml:space="preserve">, </w:t>
      </w:r>
      <w:r>
        <w:rPr>
          <w:rFonts w:ascii="Arial" w:hAnsi="Arial" w:cs="Arial"/>
          <w:rtl w:val="true"/>
        </w:rPr>
        <w:t>אלימות</w:t>
      </w:r>
      <w:r>
        <w:rPr>
          <w:rFonts w:cs="Arial" w:ascii="Arial" w:hAnsi="Arial"/>
          <w:rtl w:val="true"/>
        </w:rPr>
        <w:t xml:space="preserve">, </w:t>
      </w:r>
      <w:r>
        <w:rPr>
          <w:rFonts w:ascii="Arial" w:hAnsi="Arial" w:cs="Arial"/>
          <w:rtl w:val="true"/>
        </w:rPr>
        <w:t xml:space="preserve">סמים </w:t>
      </w:r>
      <w:r>
        <w:rPr>
          <w:rFonts w:cs="Arial" w:ascii="Arial" w:hAnsi="Arial"/>
          <w:rtl w:val="true"/>
        </w:rPr>
        <w:t>,</w:t>
      </w:r>
      <w:r>
        <w:rPr>
          <w:rFonts w:ascii="Arial" w:hAnsi="Arial" w:cs="Arial"/>
          <w:rtl w:val="true"/>
        </w:rPr>
        <w:t>קשר לפשע</w:t>
      </w:r>
      <w:r>
        <w:rPr>
          <w:rFonts w:cs="Arial" w:ascii="Arial" w:hAnsi="Arial"/>
          <w:rtl w:val="true"/>
        </w:rPr>
        <w:t xml:space="preserve">, </w:t>
      </w:r>
      <w:r>
        <w:rPr>
          <w:rFonts w:ascii="Arial" w:hAnsi="Arial" w:cs="Arial"/>
          <w:rtl w:val="true"/>
        </w:rPr>
        <w:t>איומים ורכוש והוא ריצה בעבר עונשי מאסר ממושכים</w:t>
      </w:r>
      <w:r>
        <w:rPr>
          <w:rFonts w:cs="Arial" w:ascii="Arial" w:hAnsi="Arial"/>
          <w:rtl w:val="true"/>
        </w:rPr>
        <w:t xml:space="preserve">. </w:t>
      </w:r>
      <w:r>
        <w:rPr>
          <w:rFonts w:ascii="Arial" w:hAnsi="Arial" w:cs="Arial"/>
          <w:rtl w:val="true"/>
        </w:rPr>
        <w:t xml:space="preserve">כמו כן לחובתו מאסר על תנאי בר הפעלה בן </w:t>
      </w:r>
      <w:r>
        <w:rPr>
          <w:rFonts w:cs="Arial" w:ascii="Arial" w:hAnsi="Arial"/>
        </w:rPr>
        <w:t>24</w:t>
      </w:r>
      <w:r>
        <w:rPr>
          <w:rFonts w:cs="Arial" w:ascii="Arial" w:hAnsi="Arial"/>
          <w:rtl w:val="true"/>
        </w:rPr>
        <w:t xml:space="preserve"> </w:t>
      </w:r>
      <w:r>
        <w:rPr>
          <w:rFonts w:ascii="Arial" w:hAnsi="Arial" w:cs="Arial"/>
          <w:rtl w:val="true"/>
        </w:rPr>
        <w:t>חודשים בגין עבירות נשק מסוג פשע</w:t>
      </w:r>
      <w:r>
        <w:rPr>
          <w:rFonts w:cs="Arial" w:ascii="Arial" w:hAnsi="Arial"/>
          <w:rtl w:val="true"/>
        </w:rPr>
        <w:t xml:space="preserve">. </w:t>
      </w:r>
      <w:r>
        <w:rPr>
          <w:rFonts w:ascii="Arial" w:hAnsi="Arial" w:cs="Arial"/>
          <w:rtl w:val="true"/>
        </w:rPr>
        <w:t xml:space="preserve">צוין שהנאשם עצור מיום </w:t>
      </w:r>
      <w:r>
        <w:rPr>
          <w:rFonts w:cs="Arial" w:ascii="Arial" w:hAnsi="Arial"/>
        </w:rPr>
        <w:t>26.2.18</w:t>
      </w:r>
      <w:r>
        <w:rPr>
          <w:rFonts w:cs="Arial" w:ascii="Arial" w:hAnsi="Arial"/>
          <w:rtl w:val="true"/>
        </w:rPr>
        <w:t xml:space="preserve">. </w:t>
      </w:r>
      <w:r>
        <w:rPr>
          <w:rFonts w:ascii="Arial" w:hAnsi="Arial" w:cs="Arial"/>
          <w:rtl w:val="true"/>
        </w:rPr>
        <w:t>נטען שהערכים החברתיים של שמירה על ערך החיים</w:t>
      </w:r>
      <w:r>
        <w:rPr>
          <w:rFonts w:cs="Arial" w:ascii="Arial" w:hAnsi="Arial"/>
          <w:rtl w:val="true"/>
        </w:rPr>
        <w:t xml:space="preserve">, </w:t>
      </w:r>
      <w:r>
        <w:rPr>
          <w:rFonts w:ascii="Arial" w:hAnsi="Arial" w:cs="Arial"/>
          <w:rtl w:val="true"/>
        </w:rPr>
        <w:t>ביטחון הציבור ושלומו נפגעו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באשר לנסיבות ביצוע העבירה נטען שמדובר בנסיבות חמורות</w:t>
      </w:r>
      <w:r>
        <w:rPr>
          <w:rFonts w:cs="Arial" w:ascii="Arial" w:hAnsi="Arial"/>
          <w:rtl w:val="true"/>
        </w:rPr>
        <w:t xml:space="preserve">: </w:t>
      </w:r>
      <w:r>
        <w:rPr>
          <w:rFonts w:ascii="Arial" w:hAnsi="Arial" w:cs="Arial"/>
          <w:rtl w:val="true"/>
        </w:rPr>
        <w:t>נטען שהתקיים תכנון מוקדם מפורט במיוחד</w:t>
      </w:r>
      <w:r>
        <w:rPr>
          <w:rFonts w:cs="Arial" w:ascii="Arial" w:hAnsi="Arial"/>
          <w:rtl w:val="true"/>
        </w:rPr>
        <w:t xml:space="preserve">, </w:t>
      </w:r>
      <w:r>
        <w:rPr>
          <w:rFonts w:ascii="Arial" w:hAnsi="Arial" w:cs="Arial"/>
          <w:rtl w:val="true"/>
        </w:rPr>
        <w:t>נטען עוד שאין מדובר במעידה חד פעמית</w:t>
      </w:r>
      <w:r>
        <w:rPr>
          <w:rFonts w:cs="Arial" w:ascii="Arial" w:hAnsi="Arial"/>
          <w:rtl w:val="true"/>
        </w:rPr>
        <w:t xml:space="preserve">, </w:t>
      </w:r>
      <w:r>
        <w:rPr>
          <w:rFonts w:ascii="Arial" w:hAnsi="Arial" w:cs="Arial"/>
          <w:rtl w:val="true"/>
        </w:rPr>
        <w:t>אלא שהנאשם הודה שיש לו נגישות לאמצעי לחימה שונים ומגוונים וכי הוא מתבסס ומתפרנס מסחר באמל</w:t>
      </w:r>
      <w:r>
        <w:rPr>
          <w:rFonts w:cs="Arial" w:ascii="Arial" w:hAnsi="Arial"/>
          <w:rtl w:val="true"/>
        </w:rPr>
        <w:t>"</w:t>
      </w:r>
      <w:r>
        <w:rPr>
          <w:rFonts w:ascii="Arial" w:hAnsi="Arial" w:cs="Arial"/>
          <w:rtl w:val="true"/>
        </w:rPr>
        <w:t>ח</w:t>
      </w:r>
      <w:r>
        <w:rPr>
          <w:rFonts w:cs="Arial" w:ascii="Arial" w:hAnsi="Arial"/>
          <w:rtl w:val="true"/>
        </w:rPr>
        <w:t xml:space="preserve">, </w:t>
      </w:r>
      <w:r>
        <w:rPr>
          <w:rFonts w:ascii="Arial" w:hAnsi="Arial" w:cs="Arial"/>
          <w:rtl w:val="true"/>
        </w:rPr>
        <w:t>כאשר ניתן להסיק זאת מההצעות השונות שהציע לסוכן</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נטען עוד שהנאשם מילא חלק דומיננטי ובלעדי בביצוע העבירות</w:t>
      </w:r>
      <w:r>
        <w:rPr>
          <w:rFonts w:cs="Arial" w:ascii="Arial" w:hAnsi="Arial"/>
          <w:rtl w:val="true"/>
        </w:rPr>
        <w:t xml:space="preserve">; </w:t>
      </w:r>
      <w:r>
        <w:rPr>
          <w:rFonts w:ascii="Arial" w:hAnsi="Arial" w:cs="Arial"/>
          <w:rtl w:val="true"/>
        </w:rPr>
        <w:t>הוא זה שיצר קשר ראשוני עם הסוכן</w:t>
      </w:r>
      <w:r>
        <w:rPr>
          <w:rFonts w:cs="Arial" w:ascii="Arial" w:hAnsi="Arial"/>
          <w:rtl w:val="true"/>
        </w:rPr>
        <w:t xml:space="preserve">, </w:t>
      </w:r>
      <w:r>
        <w:rPr>
          <w:rFonts w:ascii="Arial" w:hAnsi="Arial" w:cs="Arial"/>
          <w:rtl w:val="true"/>
        </w:rPr>
        <w:t>הוא פעל לקידום עסקת הנשק</w:t>
      </w:r>
      <w:r>
        <w:rPr>
          <w:rFonts w:cs="Arial" w:ascii="Arial" w:hAnsi="Arial"/>
          <w:rtl w:val="true"/>
        </w:rPr>
        <w:t xml:space="preserve">, </w:t>
      </w:r>
      <w:r>
        <w:rPr>
          <w:rFonts w:ascii="Arial" w:hAnsi="Arial" w:cs="Arial"/>
          <w:rtl w:val="true"/>
        </w:rPr>
        <w:t>ולצורך הפקת רווח כספי ממנה</w:t>
      </w:r>
      <w:r>
        <w:rPr>
          <w:rFonts w:cs="Arial" w:ascii="Arial" w:hAnsi="Arial"/>
          <w:rtl w:val="true"/>
        </w:rPr>
        <w:t xml:space="preserve">. </w:t>
      </w:r>
      <w:r>
        <w:rPr>
          <w:rFonts w:ascii="Arial" w:hAnsi="Arial" w:cs="Arial"/>
          <w:rtl w:val="true"/>
        </w:rPr>
        <w:t>נטען עוד שמדובר בשרשרת מעשים שהנאשם היה מסוגל לחדול מהם בכל שלב</w:t>
      </w:r>
      <w:r>
        <w:rPr>
          <w:rFonts w:cs="Arial" w:ascii="Arial" w:hAnsi="Arial"/>
          <w:rtl w:val="true"/>
        </w:rPr>
        <w:t xml:space="preserve">. </w:t>
      </w:r>
      <w:r>
        <w:rPr>
          <w:rFonts w:ascii="Arial" w:hAnsi="Arial" w:cs="Arial"/>
          <w:rtl w:val="true"/>
        </w:rPr>
        <w:t>נטען שסוג כלי הנשק מהווה נסיבה נוספת לחומרה כאשר מדובר בתת מקלע מסוג נשק תקני</w:t>
      </w:r>
      <w:r>
        <w:rPr>
          <w:rFonts w:cs="Arial" w:ascii="Arial" w:hAnsi="Arial"/>
          <w:rtl w:val="true"/>
        </w:rPr>
        <w:t xml:space="preserve">. </w:t>
      </w:r>
      <w:r>
        <w:rPr>
          <w:rFonts w:ascii="Arial" w:hAnsi="Arial" w:cs="Arial"/>
          <w:rtl w:val="true"/>
        </w:rPr>
        <w:t>נסיבה לחומרה נוספת צוינה כביצוע העסקה בסלון ביתו בנוכחות ילדיו הקטינים</w:t>
      </w:r>
      <w:r>
        <w:rPr>
          <w:rFonts w:cs="Arial" w:ascii="Arial" w:hAnsi="Arial"/>
          <w:rtl w:val="true"/>
        </w:rPr>
        <w:t xml:space="preserve">. </w:t>
      </w:r>
      <w:r>
        <w:rPr>
          <w:rFonts w:ascii="Arial" w:hAnsi="Arial" w:cs="Arial"/>
          <w:rtl w:val="true"/>
        </w:rPr>
        <w:t>נטען עוד שהנאשם הבין היטב את הפסול במעשיו וחרף זאת המשיך בעסקה מתוך בצע כסף</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לסיכום טענה המדינה שנסיבות ביצוע העבירה בתיק חריגות בחומרתן ומעידות כי עסקינן בנאשם מסוכן לציבור</w:t>
      </w:r>
      <w:r>
        <w:rPr>
          <w:rFonts w:cs="Arial" w:ascii="Arial" w:hAnsi="Arial"/>
          <w:rtl w:val="true"/>
        </w:rPr>
        <w:t xml:space="preserve">, </w:t>
      </w:r>
      <w:r>
        <w:rPr>
          <w:rFonts w:ascii="Arial" w:hAnsi="Arial" w:cs="Arial"/>
          <w:rtl w:val="true"/>
        </w:rPr>
        <w:t>נטול מורא</w:t>
      </w:r>
      <w:r>
        <w:rPr>
          <w:rFonts w:cs="Arial" w:ascii="Arial" w:hAnsi="Arial"/>
          <w:rtl w:val="true"/>
        </w:rPr>
        <w:t xml:space="preserve">, </w:t>
      </w:r>
      <w:r>
        <w:rPr>
          <w:rFonts w:ascii="Arial" w:hAnsi="Arial" w:cs="Arial"/>
          <w:rtl w:val="true"/>
        </w:rPr>
        <w:t>ונעדר גבולות</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הוזכר שהפסיקה של השנים האחרונות מצדדת בהחמרת הענישה בעבירות הנשק</w:t>
      </w:r>
      <w:r>
        <w:rPr>
          <w:rFonts w:cs="Arial" w:ascii="Arial" w:hAnsi="Arial"/>
          <w:rtl w:val="true"/>
        </w:rPr>
        <w:t xml:space="preserve">, </w:t>
      </w:r>
      <w:r>
        <w:rPr>
          <w:rFonts w:ascii="Arial" w:hAnsi="Arial" w:cs="Arial"/>
          <w:rtl w:val="true"/>
        </w:rPr>
        <w:t>כחלק מהצורך להילחם בתופעה של נפיצות של אמל</w:t>
      </w:r>
      <w:r>
        <w:rPr>
          <w:rFonts w:cs="Arial" w:ascii="Arial" w:hAnsi="Arial"/>
          <w:rtl w:val="true"/>
        </w:rPr>
        <w:t>"</w:t>
      </w:r>
      <w:r>
        <w:rPr>
          <w:rFonts w:ascii="Arial" w:hAnsi="Arial" w:cs="Arial"/>
          <w:rtl w:val="true"/>
        </w:rPr>
        <w:t>ח בלתי חוקי בידי חלק מהציבור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u w:val="single"/>
        </w:rPr>
      </w:pPr>
      <w:r>
        <w:rPr>
          <w:rFonts w:cs="Arial" w:ascii="Arial" w:hAnsi="Arial"/>
        </w:rPr>
        <w:t>11</w:t>
      </w:r>
      <w:r>
        <w:rPr>
          <w:rFonts w:cs="Arial" w:ascii="Arial" w:hAnsi="Arial"/>
          <w:rtl w:val="true"/>
        </w:rPr>
        <w:t>.</w:t>
        <w:tab/>
      </w:r>
      <w:r>
        <w:rPr>
          <w:rFonts w:ascii="Arial" w:hAnsi="Arial" w:cs="Arial"/>
          <w:u w:val="single"/>
          <w:rtl w:val="true"/>
        </w:rPr>
        <w:t>אוזכרו המקרים הבאים</w:t>
      </w:r>
      <w:r>
        <w:rPr>
          <w:rFonts w:cs="Arial" w:ascii="Arial" w:hAnsi="Arial"/>
          <w:u w:val="single"/>
          <w:rtl w:val="true"/>
        </w:rPr>
        <w:t>:</w:t>
      </w:r>
    </w:p>
    <w:p>
      <w:pPr>
        <w:pStyle w:val="Normal"/>
        <w:spacing w:lineRule="auto" w:line="360"/>
        <w:ind w:end="0"/>
        <w:jc w:val="both"/>
        <w:rPr>
          <w:rFonts w:ascii="Arial" w:hAnsi="Arial" w:cs="Arial"/>
          <w:u w:val="single"/>
        </w:rPr>
      </w:pPr>
      <w:r>
        <w:rPr>
          <w:rFonts w:cs="Arial" w:ascii="Arial" w:hAnsi="Arial"/>
          <w:u w:val="single"/>
          <w:rtl w:val="true"/>
        </w:rPr>
      </w:r>
    </w:p>
    <w:p>
      <w:pPr>
        <w:pStyle w:val="Normal"/>
        <w:spacing w:lineRule="auto" w:line="360"/>
        <w:ind w:start="720" w:end="0"/>
        <w:jc w:val="both"/>
        <w:rPr>
          <w:rFonts w:ascii="Arial" w:hAnsi="Arial" w:cs="Arial"/>
        </w:rPr>
      </w:pPr>
      <w:hyperlink r:id="rId2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4439/19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יונס סובח</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5.11.2019</w:t>
      </w:r>
      <w:r>
        <w:rPr>
          <w:rFonts w:cs="Arial" w:ascii="Arial" w:hAnsi="Arial"/>
          <w:rtl w:val="true"/>
        </w:rPr>
        <w:t xml:space="preserve">) </w:t>
      </w:r>
      <w:r>
        <w:rPr>
          <w:rFonts w:ascii="Arial" w:hAnsi="Arial" w:cs="Arial"/>
          <w:rtl w:val="true"/>
        </w:rPr>
        <w:t>שם המשיבים הורשעו בביצוע עבירות של חבלה חמורה בנסיבות חמורות ובעבירות נשק</w:t>
      </w:r>
      <w:r>
        <w:rPr>
          <w:rFonts w:cs="Arial" w:ascii="Arial" w:hAnsi="Arial"/>
          <w:rtl w:val="true"/>
        </w:rPr>
        <w:t xml:space="preserve">. </w:t>
      </w:r>
      <w:r>
        <w:rPr>
          <w:rFonts w:ascii="Arial" w:hAnsi="Arial" w:cs="Arial"/>
          <w:rtl w:val="true"/>
        </w:rPr>
        <w:t xml:space="preserve">נגזרו עליהם עונשים של </w:t>
      </w:r>
      <w:r>
        <w:rPr>
          <w:rFonts w:cs="Arial" w:ascii="Arial" w:hAnsi="Arial"/>
        </w:rPr>
        <w:t>42</w:t>
      </w:r>
      <w:r>
        <w:rPr>
          <w:rFonts w:cs="Arial" w:ascii="Arial" w:hAnsi="Arial"/>
          <w:rtl w:val="true"/>
        </w:rPr>
        <w:t xml:space="preserve">, </w:t>
      </w:r>
      <w:r>
        <w:rPr>
          <w:rFonts w:cs="Arial" w:ascii="Arial" w:hAnsi="Arial"/>
        </w:rPr>
        <w:t>50</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ערעור המדינה התקבל והעונשים הוחמרו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שנות מאסר ו</w:t>
      </w:r>
      <w:r>
        <w:rPr>
          <w:rFonts w:cs="Arial" w:ascii="Arial" w:hAnsi="Arial"/>
          <w:rtl w:val="true"/>
        </w:rPr>
        <w:t>-</w:t>
      </w:r>
      <w:r>
        <w:rPr>
          <w:rFonts w:cs="Arial" w:ascii="Arial" w:hAnsi="Arial"/>
        </w:rPr>
        <w:t>3.5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hyperlink r:id="rId25">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52790-03-18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רביע סגים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13.11.2019</w:t>
      </w:r>
      <w:r>
        <w:rPr>
          <w:rFonts w:cs="Arial" w:ascii="Arial" w:hAnsi="Arial"/>
          <w:rtl w:val="true"/>
        </w:rPr>
        <w:t xml:space="preserve">) </w:t>
      </w:r>
      <w:r>
        <w:rPr>
          <w:rFonts w:ascii="Arial" w:hAnsi="Arial" w:cs="Arial"/>
          <w:rtl w:val="true"/>
        </w:rPr>
        <w:t>שם הורשעו שני נאשמים בעבירות נשק</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הורשע בשני אישומים שונים</w:t>
      </w:r>
      <w:r>
        <w:rPr>
          <w:rFonts w:cs="Arial" w:ascii="Arial" w:hAnsi="Arial"/>
          <w:rtl w:val="true"/>
        </w:rPr>
        <w:t xml:space="preserve">- </w:t>
      </w:r>
      <w:r>
        <w:rPr>
          <w:rFonts w:ascii="Arial" w:hAnsi="Arial" w:cs="Arial"/>
          <w:rtl w:val="true"/>
        </w:rPr>
        <w:t>בהחזקה</w:t>
      </w:r>
      <w:r>
        <w:rPr>
          <w:rFonts w:cs="Arial" w:ascii="Arial" w:hAnsi="Arial"/>
          <w:rtl w:val="true"/>
        </w:rPr>
        <w:t xml:space="preserve">, </w:t>
      </w:r>
      <w:r>
        <w:rPr>
          <w:rFonts w:ascii="Arial" w:hAnsi="Arial" w:cs="Arial"/>
          <w:rtl w:val="true"/>
        </w:rPr>
        <w:t>הובלה וביצוע עסקה בנשק</w:t>
      </w:r>
      <w:r>
        <w:rPr>
          <w:rFonts w:cs="Arial" w:ascii="Arial" w:hAnsi="Arial"/>
          <w:rtl w:val="true"/>
        </w:rPr>
        <w:t xml:space="preserve">, </w:t>
      </w:r>
      <w:r>
        <w:rPr>
          <w:rFonts w:ascii="Arial" w:hAnsi="Arial" w:cs="Arial"/>
          <w:rtl w:val="true"/>
        </w:rPr>
        <w:t>ובאישום השני שני הנאשמים הורשעו בהחזקה והובלה של נשק</w:t>
      </w:r>
      <w:r>
        <w:rPr>
          <w:rFonts w:cs="Arial" w:ascii="Arial" w:hAnsi="Arial"/>
          <w:rtl w:val="true"/>
        </w:rPr>
        <w:t xml:space="preserve">. </w:t>
      </w:r>
      <w:r>
        <w:rPr>
          <w:rFonts w:ascii="Arial" w:hAnsi="Arial" w:cs="Arial"/>
          <w:rtl w:val="true"/>
        </w:rPr>
        <w:t xml:space="preserve">נקבע מתחם ענישה שבין </w:t>
      </w:r>
      <w:r>
        <w:rPr>
          <w:rFonts w:cs="Arial" w:ascii="Arial" w:hAnsi="Arial"/>
        </w:rPr>
        <w:t>3-6</w:t>
      </w:r>
      <w:r>
        <w:rPr>
          <w:rFonts w:cs="Arial" w:ascii="Arial" w:hAnsi="Arial"/>
          <w:rtl w:val="true"/>
        </w:rPr>
        <w:t xml:space="preserve"> </w:t>
      </w:r>
      <w:r>
        <w:rPr>
          <w:rFonts w:ascii="Arial" w:hAnsi="Arial" w:cs="Arial"/>
          <w:rtl w:val="true"/>
        </w:rPr>
        <w:t>שנות מאסר לכל אישום</w:t>
      </w:r>
      <w:r>
        <w:rPr>
          <w:rFonts w:cs="Arial" w:ascii="Arial" w:hAnsi="Arial"/>
          <w:rtl w:val="true"/>
        </w:rPr>
        <w:t xml:space="preserve">, </w:t>
      </w:r>
      <w:r>
        <w:rPr>
          <w:rFonts w:ascii="Arial" w:hAnsi="Arial" w:cs="Arial"/>
          <w:rtl w:val="true"/>
        </w:rPr>
        <w:t xml:space="preserve">ונאשם </w:t>
      </w:r>
      <w:r>
        <w:rPr>
          <w:rFonts w:cs="Arial" w:ascii="Arial" w:hAnsi="Arial"/>
        </w:rPr>
        <w:t>1</w:t>
      </w:r>
      <w:r>
        <w:rPr>
          <w:rFonts w:cs="Arial" w:ascii="Arial" w:hAnsi="Arial"/>
          <w:rtl w:val="true"/>
        </w:rPr>
        <w:t xml:space="preserve"> </w:t>
      </w:r>
      <w:r>
        <w:rPr>
          <w:rFonts w:ascii="Arial" w:hAnsi="Arial" w:cs="Arial"/>
          <w:rtl w:val="true"/>
        </w:rPr>
        <w:t>נידון ל</w:t>
      </w:r>
      <w:r>
        <w:rPr>
          <w:rFonts w:cs="Arial" w:ascii="Arial" w:hAnsi="Arial"/>
          <w:rtl w:val="true"/>
        </w:rPr>
        <w:t>-</w:t>
      </w:r>
      <w:r>
        <w:rPr>
          <w:rFonts w:cs="Arial" w:ascii="Arial" w:hAnsi="Arial"/>
        </w:rPr>
        <w:t>4.5</w:t>
      </w:r>
      <w:r>
        <w:rPr>
          <w:rFonts w:cs="Arial" w:ascii="Arial" w:hAnsi="Arial"/>
          <w:rtl w:val="true"/>
        </w:rPr>
        <w:t xml:space="preserve"> </w:t>
      </w:r>
      <w:r>
        <w:rPr>
          <w:rFonts w:ascii="Arial" w:hAnsi="Arial" w:cs="Arial"/>
          <w:rtl w:val="true"/>
        </w:rPr>
        <w:t xml:space="preserve">שנות מאסר בפועל ונאשם </w:t>
      </w:r>
      <w:r>
        <w:rPr>
          <w:rFonts w:cs="Arial" w:ascii="Arial" w:hAnsi="Arial"/>
        </w:rPr>
        <w:t>2</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hyperlink r:id="rId2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45432-11-15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רונן דהוד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4.4.2016</w:t>
      </w:r>
      <w:r>
        <w:rPr>
          <w:rFonts w:cs="Arial" w:ascii="Arial" w:hAnsi="Arial"/>
          <w:rtl w:val="true"/>
        </w:rPr>
        <w:t xml:space="preserve">) </w:t>
      </w:r>
      <w:r>
        <w:rPr>
          <w:rFonts w:ascii="Arial" w:hAnsi="Arial" w:cs="Arial"/>
          <w:rtl w:val="true"/>
        </w:rPr>
        <w:t>הורשע הנאשם בשני אישומים של עבירות סחר בנשק ועבירות נשק מול סוכן</w:t>
      </w:r>
      <w:r>
        <w:rPr>
          <w:rFonts w:cs="Arial" w:ascii="Arial" w:hAnsi="Arial"/>
          <w:rtl w:val="true"/>
        </w:rPr>
        <w:t xml:space="preserve">. </w:t>
      </w:r>
      <w:r>
        <w:rPr>
          <w:rFonts w:ascii="Arial" w:hAnsi="Arial" w:cs="Arial"/>
          <w:rtl w:val="true"/>
        </w:rPr>
        <w:t>מדובר בנאשם עם עבר פלילי מכביד</w:t>
      </w:r>
      <w:r>
        <w:rPr>
          <w:rFonts w:cs="Arial" w:ascii="Arial" w:hAnsi="Arial"/>
          <w:rtl w:val="true"/>
        </w:rPr>
        <w:t xml:space="preserve">. </w:t>
      </w:r>
      <w:r>
        <w:rPr>
          <w:rFonts w:ascii="Arial" w:hAnsi="Arial" w:cs="Arial"/>
          <w:rtl w:val="true"/>
        </w:rPr>
        <w:t xml:space="preserve">נקבע מתחם ענישה בין </w:t>
      </w:r>
      <w:r>
        <w:rPr>
          <w:rFonts w:cs="Arial" w:ascii="Arial" w:hAnsi="Arial"/>
        </w:rPr>
        <w:t>2-5</w:t>
      </w:r>
      <w:r>
        <w:rPr>
          <w:rFonts w:cs="Arial" w:ascii="Arial" w:hAnsi="Arial"/>
          <w:rtl w:val="true"/>
        </w:rPr>
        <w:t xml:space="preserve"> </w:t>
      </w:r>
      <w:r>
        <w:rPr>
          <w:rFonts w:ascii="Arial" w:hAnsi="Arial" w:cs="Arial"/>
          <w:rtl w:val="true"/>
        </w:rPr>
        <w:t xml:space="preserve">שנים והוטלו </w:t>
      </w:r>
      <w:r>
        <w:rPr>
          <w:rFonts w:cs="Arial" w:ascii="Arial" w:hAnsi="Arial"/>
        </w:rPr>
        <w:t>45</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ערעור שהוגש נדחה</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hyperlink r:id="rId2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533-05-17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שלאטה</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30.4.2018</w:t>
      </w:r>
      <w:r>
        <w:rPr>
          <w:rFonts w:cs="Arial" w:ascii="Arial" w:hAnsi="Arial"/>
          <w:rtl w:val="true"/>
        </w:rPr>
        <w:t xml:space="preserve">) </w:t>
      </w:r>
      <w:r>
        <w:rPr>
          <w:rFonts w:ascii="Arial" w:hAnsi="Arial" w:cs="Arial"/>
          <w:rtl w:val="true"/>
        </w:rPr>
        <w:t>הורשע נאשם על פי הודאתו בסחר בנשק ועבירות בנשק בשלושה אישומים</w:t>
      </w:r>
      <w:r>
        <w:rPr>
          <w:rFonts w:cs="Arial" w:ascii="Arial" w:hAnsi="Arial"/>
          <w:rtl w:val="true"/>
        </w:rPr>
        <w:t xml:space="preserve">. </w:t>
      </w:r>
      <w:r>
        <w:rPr>
          <w:rFonts w:ascii="Arial" w:hAnsi="Arial" w:cs="Arial"/>
          <w:rtl w:val="true"/>
        </w:rPr>
        <w:t>למרות שהיה צעיר נעדר עבר פלילי</w:t>
      </w:r>
      <w:r>
        <w:rPr>
          <w:rFonts w:cs="Arial" w:ascii="Arial" w:hAnsi="Arial"/>
          <w:rtl w:val="true"/>
        </w:rPr>
        <w:t xml:space="preserve">, </w:t>
      </w:r>
      <w:r>
        <w:rPr>
          <w:rFonts w:ascii="Arial" w:hAnsi="Arial" w:cs="Arial"/>
          <w:rtl w:val="true"/>
        </w:rPr>
        <w:t xml:space="preserve">הוטלו עליו </w:t>
      </w:r>
      <w:r>
        <w:rPr>
          <w:rFonts w:cs="Arial" w:ascii="Arial" w:hAnsi="Arial"/>
        </w:rPr>
        <w:t>4</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הוא חזר בו מערעור שהגיש</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hyperlink r:id="rId2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3877/16</w:t>
        </w:r>
      </w:hyperlink>
      <w:r>
        <w:rPr>
          <w:rFonts w:cs="Arial" w:ascii="Arial" w:hAnsi="Arial"/>
          <w:rtl w:val="true"/>
        </w:rPr>
        <w:t xml:space="preserve"> </w:t>
      </w:r>
      <w:r>
        <w:rPr>
          <w:rFonts w:ascii="Arial" w:hAnsi="Arial" w:cs="Arial"/>
          <w:b/>
          <w:b/>
          <w:bCs/>
          <w:rtl w:val="true"/>
        </w:rPr>
        <w:t>פאדי ג</w:t>
      </w:r>
      <w:r>
        <w:rPr>
          <w:rFonts w:cs="Arial" w:ascii="Arial" w:hAnsi="Arial"/>
          <w:b/>
          <w:bCs/>
          <w:rtl w:val="true"/>
        </w:rPr>
        <w:t>'</w:t>
      </w:r>
      <w:r>
        <w:rPr>
          <w:rFonts w:ascii="Arial" w:hAnsi="Arial" w:cs="Arial"/>
          <w:b/>
          <w:b/>
          <w:bCs/>
          <w:rtl w:val="true"/>
        </w:rPr>
        <w:t>באלי נ</w:t>
      </w:r>
      <w:r>
        <w:rPr>
          <w:rFonts w:cs="Arial" w:ascii="Arial" w:hAnsi="Arial"/>
          <w:b/>
          <w:bCs/>
          <w:rtl w:val="true"/>
        </w:rPr>
        <w:t xml:space="preserve">' </w:t>
      </w:r>
      <w:r>
        <w:rPr>
          <w:rFonts w:ascii="Arial" w:hAnsi="Arial" w:cs="Arial"/>
          <w:b/>
          <w:b/>
          <w:bCs/>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w:hAnsi="Arial" w:cs="Arial"/>
          <w:rtl w:val="true"/>
        </w:rPr>
        <w:t>הורשע נאשם בנשיאת אקדח</w:t>
      </w:r>
      <w:r>
        <w:rPr>
          <w:rFonts w:cs="Arial" w:ascii="Arial" w:hAnsi="Arial"/>
          <w:rtl w:val="true"/>
        </w:rPr>
        <w:t xml:space="preserve">, </w:t>
      </w:r>
      <w:r>
        <w:rPr>
          <w:rFonts w:ascii="Arial" w:hAnsi="Arial" w:cs="Arial"/>
          <w:rtl w:val="true"/>
        </w:rPr>
        <w:t xml:space="preserve">מחסנית וכדורים והושתו עליו </w:t>
      </w:r>
      <w:r>
        <w:rPr>
          <w:rFonts w:cs="Arial" w:ascii="Arial" w:hAnsi="Arial"/>
        </w:rPr>
        <w:t>34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ערעור הנאשם על העונש נדחה</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hyperlink r:id="rId2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2251/11</w:t>
        </w:r>
      </w:hyperlink>
      <w:r>
        <w:rPr>
          <w:rFonts w:cs="Arial" w:ascii="Arial" w:hAnsi="Arial"/>
          <w:rtl w:val="true"/>
        </w:rPr>
        <w:t xml:space="preserve"> </w:t>
      </w:r>
      <w:r>
        <w:rPr>
          <w:rFonts w:ascii="Arial" w:hAnsi="Arial" w:cs="Arial"/>
          <w:b/>
          <w:b/>
          <w:bCs/>
          <w:rtl w:val="true"/>
        </w:rPr>
        <w:t>נפאע נ</w:t>
      </w:r>
      <w:r>
        <w:rPr>
          <w:rFonts w:cs="Arial" w:ascii="Arial" w:hAnsi="Arial"/>
          <w:b/>
          <w:bCs/>
          <w:rtl w:val="true"/>
        </w:rPr>
        <w:t xml:space="preserve">' </w:t>
      </w:r>
      <w:r>
        <w:rPr>
          <w:rFonts w:ascii="Arial" w:hAnsi="Arial" w:cs="Arial"/>
          <w:b/>
          <w:b/>
          <w:bCs/>
          <w:rtl w:val="true"/>
        </w:rPr>
        <w:t>מדינת ישראל</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4.12.2011</w:t>
      </w:r>
      <w:r>
        <w:rPr>
          <w:rFonts w:cs="Arial" w:ascii="Arial" w:hAnsi="Arial"/>
          <w:rtl w:val="true"/>
        </w:rPr>
        <w:t xml:space="preserve">) </w:t>
      </w:r>
      <w:r>
        <w:rPr>
          <w:rFonts w:ascii="Arial" w:hAnsi="Arial" w:cs="Arial"/>
          <w:rtl w:val="true"/>
        </w:rPr>
        <w:t>הורשע נאשם בשתי עבירות של סחר בנשק ושתי עבירות של נשיאת נשק לאחר שמכר אקדח ותת מקלע לסוכן</w:t>
      </w:r>
      <w:r>
        <w:rPr>
          <w:rFonts w:cs="Arial" w:ascii="Arial" w:hAnsi="Arial"/>
          <w:rtl w:val="true"/>
        </w:rPr>
        <w:t xml:space="preserve">. </w:t>
      </w:r>
      <w:r>
        <w:rPr>
          <w:rFonts w:ascii="Arial" w:hAnsi="Arial" w:cs="Arial"/>
          <w:rtl w:val="true"/>
        </w:rPr>
        <w:t>לנאשם היו תשע הרשעות קודמות וריצה בעבר עונשי מאסר בפועל</w:t>
      </w:r>
      <w:r>
        <w:rPr>
          <w:rFonts w:cs="Arial" w:ascii="Arial" w:hAnsi="Arial"/>
          <w:rtl w:val="true"/>
        </w:rPr>
        <w:t xml:space="preserve">. </w:t>
      </w:r>
      <w:r>
        <w:rPr>
          <w:rFonts w:ascii="Arial" w:hAnsi="Arial" w:cs="Arial"/>
          <w:rtl w:val="true"/>
        </w:rPr>
        <w:t xml:space="preserve">הוטלו עליו </w:t>
      </w:r>
      <w:r>
        <w:rPr>
          <w:rFonts w:cs="Arial" w:ascii="Arial" w:hAnsi="Arial"/>
        </w:rPr>
        <w:t>38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 xml:space="preserve">ש שלערעור החמיר בעונש וקבע שיש לעלות את רף הענישה בהדרגה וגזר על הנאשם </w:t>
      </w:r>
      <w:r>
        <w:rPr>
          <w:rFonts w:cs="Arial" w:ascii="Arial" w:hAnsi="Arial"/>
        </w:rPr>
        <w:t>46</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hyperlink r:id="rId3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3058-05-10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טאר הייבי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7.7.2011</w:t>
      </w:r>
      <w:r>
        <w:rPr>
          <w:rFonts w:cs="Arial" w:ascii="Arial" w:hAnsi="Arial"/>
          <w:rtl w:val="true"/>
        </w:rPr>
        <w:t xml:space="preserve">) </w:t>
      </w:r>
      <w:r>
        <w:rPr>
          <w:rFonts w:ascii="Arial" w:hAnsi="Arial" w:cs="Arial"/>
          <w:rtl w:val="true"/>
        </w:rPr>
        <w:t xml:space="preserve">נגזרו </w:t>
      </w:r>
      <w:r>
        <w:rPr>
          <w:rFonts w:cs="Arial" w:ascii="Arial" w:hAnsi="Arial"/>
        </w:rPr>
        <w:t>9</w:t>
      </w:r>
      <w:r>
        <w:rPr>
          <w:rFonts w:cs="Arial" w:ascii="Arial" w:hAnsi="Arial"/>
          <w:rtl w:val="true"/>
        </w:rPr>
        <w:t xml:space="preserve"> </w:t>
      </w:r>
      <w:r>
        <w:rPr>
          <w:rFonts w:ascii="Arial" w:hAnsi="Arial" w:cs="Arial"/>
          <w:rtl w:val="true"/>
        </w:rPr>
        <w:t xml:space="preserve">שנות מאסר על נאשם שהורשע בביצוע </w:t>
      </w:r>
      <w:r>
        <w:rPr>
          <w:rFonts w:cs="Arial" w:ascii="Arial" w:hAnsi="Arial"/>
        </w:rPr>
        <w:t>4</w:t>
      </w:r>
      <w:r>
        <w:rPr>
          <w:rFonts w:cs="Arial" w:ascii="Arial" w:hAnsi="Arial"/>
          <w:rtl w:val="true"/>
        </w:rPr>
        <w:t xml:space="preserve"> </w:t>
      </w:r>
      <w:r>
        <w:rPr>
          <w:rFonts w:ascii="Arial" w:hAnsi="Arial" w:cs="Arial"/>
          <w:rtl w:val="true"/>
        </w:rPr>
        <w:t>עבירות של סחר בנשק 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עבירות של סיוע לסחר בנשק</w:t>
      </w:r>
      <w:r>
        <w:rPr>
          <w:rFonts w:cs="Arial" w:ascii="Arial" w:hAnsi="Arial"/>
          <w:rtl w:val="true"/>
        </w:rPr>
        <w:t xml:space="preserve">. </w:t>
      </w:r>
      <w:r>
        <w:rPr>
          <w:rFonts w:ascii="Arial" w:hAnsi="Arial" w:cs="Arial"/>
          <w:rtl w:val="true"/>
        </w:rPr>
        <w:t>הוא היה בעל עבר פלילי מכביד וביצע את העבירות כשהיה אסיר משוחרר וכן בעת שהיה אסיר</w:t>
      </w:r>
      <w:r>
        <w:rPr>
          <w:rFonts w:cs="Arial" w:ascii="Arial" w:hAnsi="Arial"/>
          <w:rtl w:val="true"/>
        </w:rPr>
        <w:t xml:space="preserve">. </w:t>
      </w:r>
      <w:r>
        <w:rPr>
          <w:rFonts w:ascii="Arial" w:hAnsi="Arial" w:cs="Arial"/>
          <w:rtl w:val="true"/>
        </w:rPr>
        <w:t>ערעור שהוגש לביהמ</w:t>
      </w:r>
      <w:r>
        <w:rPr>
          <w:rFonts w:cs="Arial" w:ascii="Arial" w:hAnsi="Arial"/>
          <w:rtl w:val="true"/>
        </w:rPr>
        <w:t>"</w:t>
      </w:r>
      <w:r>
        <w:rPr>
          <w:rFonts w:ascii="Arial" w:hAnsi="Arial" w:cs="Arial"/>
          <w:rtl w:val="true"/>
        </w:rPr>
        <w:t>ש העליון נדחה</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hyperlink r:id="rId3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30145-12-11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אמירהם ח</w:t>
      </w:r>
      <w:r>
        <w:rPr>
          <w:rFonts w:cs="Arial" w:ascii="Arial" w:hAnsi="Arial"/>
          <w:b/>
          <w:bCs/>
          <w:rtl w:val="true"/>
        </w:rPr>
        <w:t>'</w:t>
      </w:r>
      <w:r>
        <w:rPr>
          <w:rFonts w:ascii="Arial" w:hAnsi="Arial" w:cs="Arial"/>
          <w:b/>
          <w:b/>
          <w:bCs/>
          <w:rtl w:val="true"/>
        </w:rPr>
        <w:t xml:space="preserve">טיב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6.2.2012</w:t>
      </w:r>
      <w:r>
        <w:rPr>
          <w:rFonts w:cs="Arial" w:ascii="Arial" w:hAnsi="Arial"/>
          <w:rtl w:val="true"/>
        </w:rPr>
        <w:t xml:space="preserve">) </w:t>
      </w:r>
      <w:r>
        <w:rPr>
          <w:rFonts w:ascii="Arial" w:hAnsi="Arial" w:cs="Arial"/>
          <w:rtl w:val="true"/>
        </w:rPr>
        <w:t>הורשע נאשם על פי הודאתו בביצוע שתי עבירות של החזקת נשק ושתי עבירות של סחר בנשק ונידון ל</w:t>
      </w:r>
      <w:r>
        <w:rPr>
          <w:rFonts w:cs="Arial" w:ascii="Arial" w:hAnsi="Arial"/>
          <w:rtl w:val="true"/>
        </w:rPr>
        <w:t>-</w:t>
      </w:r>
      <w:r>
        <w:rPr>
          <w:rFonts w:cs="Arial" w:ascii="Arial" w:hAnsi="Arial"/>
        </w:rPr>
        <w:t>54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הנאשם היה בעל עבר פלילי מכביד וריצה בעבר </w:t>
      </w:r>
      <w:r>
        <w:rPr>
          <w:rFonts w:cs="Arial" w:ascii="Arial" w:hAnsi="Arial"/>
        </w:rPr>
        <w:t>5</w:t>
      </w:r>
      <w:r>
        <w:rPr>
          <w:rFonts w:cs="Arial" w:ascii="Arial" w:hAnsi="Arial"/>
          <w:rtl w:val="true"/>
        </w:rPr>
        <w:t xml:space="preserve"> </w:t>
      </w:r>
      <w:r>
        <w:rPr>
          <w:rFonts w:ascii="Arial" w:hAnsi="Arial" w:cs="Arial"/>
          <w:rtl w:val="true"/>
        </w:rPr>
        <w:t>שנות מאסר בפועל בגין עבירות נשק</w:t>
      </w:r>
      <w:r>
        <w:rPr>
          <w:rFonts w:cs="Arial" w:ascii="Arial" w:hAnsi="Arial"/>
          <w:rtl w:val="true"/>
        </w:rPr>
        <w:t xml:space="preserve">. </w:t>
      </w:r>
      <w:r>
        <w:rPr>
          <w:rFonts w:ascii="Arial" w:hAnsi="Arial" w:cs="Arial"/>
          <w:rtl w:val="true"/>
        </w:rPr>
        <w:t>ערעור שהוגש על חומרת העונש נדחה</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נטען שהפסיקה קבעה שמתחם הענישה ההולם אינו נגזר אך ורק מרמת ענישה נוהגת</w:t>
      </w:r>
      <w:r>
        <w:rPr>
          <w:rFonts w:cs="Arial" w:ascii="Arial" w:hAnsi="Arial"/>
          <w:rtl w:val="true"/>
        </w:rPr>
        <w:t xml:space="preserve">, </w:t>
      </w:r>
      <w:r>
        <w:rPr>
          <w:rFonts w:ascii="Arial" w:hAnsi="Arial" w:cs="Arial"/>
          <w:rtl w:val="true"/>
        </w:rPr>
        <w:t>אלא נקבע גם בהתאם להכרעה הערכית המתבססת על שיקולים שונים</w:t>
      </w:r>
      <w:r>
        <w:rPr>
          <w:rFonts w:cs="Arial" w:ascii="Arial" w:hAnsi="Arial"/>
          <w:rtl w:val="true"/>
        </w:rPr>
        <w:t xml:space="preserve">, </w:t>
      </w:r>
      <w:r>
        <w:rPr>
          <w:rFonts w:ascii="Arial" w:hAnsi="Arial" w:cs="Arial"/>
          <w:rtl w:val="true"/>
        </w:rPr>
        <w:t>כאשר מדיניות הענישה מהווה רק אחד מהשיקולים</w:t>
      </w:r>
      <w:r>
        <w:rPr>
          <w:rFonts w:cs="Arial" w:ascii="Arial" w:hAnsi="Arial"/>
          <w:rtl w:val="true"/>
        </w:rPr>
        <w:t xml:space="preserve">. </w:t>
      </w:r>
      <w:r>
        <w:rPr>
          <w:rFonts w:ascii="Arial" w:hAnsi="Arial" w:cs="Arial"/>
          <w:rtl w:val="true"/>
        </w:rPr>
        <w:t>נטען שקיימת סכנה ברורה הנובעת מעבירות נשק העוברים מיד ליד כדי לשמש למטרות בלתי חוקיות במישור הפלילי והביטחוני</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13</w:t>
      </w:r>
      <w:r>
        <w:rPr>
          <w:rFonts w:cs="Arial" w:ascii="Arial" w:hAnsi="Arial"/>
          <w:rtl w:val="true"/>
        </w:rPr>
        <w:t>.</w:t>
        <w:tab/>
      </w:r>
      <w:r>
        <w:rPr>
          <w:rFonts w:ascii="Arial" w:hAnsi="Arial" w:cs="Arial"/>
          <w:rtl w:val="true"/>
        </w:rPr>
        <w:t xml:space="preserve">נטען שהמציאות בארץ מחייבת להחמיר ולהעלות את רף הענישה בגין עבירות נשק לאור נפיצותם  וזמינותם של כלי הנשק ובהתחשב בסיכון שהם מהווים </w:t>
      </w:r>
      <w:r>
        <w:rPr>
          <w:rFonts w:cs="Arial" w:ascii="Arial" w:hAnsi="Arial"/>
          <w:rtl w:val="true"/>
        </w:rPr>
        <w:t>(</w:t>
      </w:r>
      <w:hyperlink r:id="rId3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5220/09</w:t>
        </w:r>
      </w:hyperlink>
      <w:r>
        <w:rPr>
          <w:rFonts w:cs="Arial" w:ascii="Arial" w:hAnsi="Arial"/>
          <w:rtl w:val="true"/>
        </w:rPr>
        <w:t xml:space="preserve"> </w:t>
      </w:r>
      <w:r>
        <w:rPr>
          <w:rFonts w:ascii="Arial" w:hAnsi="Arial" w:cs="Arial"/>
          <w:b/>
          <w:b/>
          <w:bCs/>
          <w:rtl w:val="true"/>
        </w:rPr>
        <w:t>הייתם עוואודה נ</w:t>
      </w:r>
      <w:r>
        <w:rPr>
          <w:rFonts w:cs="Arial" w:ascii="Arial" w:hAnsi="Arial"/>
          <w:b/>
          <w:bCs/>
          <w:rtl w:val="true"/>
        </w:rPr>
        <w:t xml:space="preserve">' </w:t>
      </w:r>
      <w:r>
        <w:rPr>
          <w:rFonts w:ascii="Arial" w:hAnsi="Arial" w:cs="Arial"/>
          <w:b/>
          <w:b/>
          <w:bCs/>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w:hAnsi="Arial" w:cs="Arial"/>
          <w:rtl w:val="true"/>
        </w:rPr>
        <w:t>ו</w:t>
      </w:r>
      <w:hyperlink r:id="rId3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2368/11</w:t>
        </w:r>
      </w:hyperlink>
      <w:r>
        <w:rPr>
          <w:rFonts w:cs="Arial" w:ascii="Arial" w:hAnsi="Arial"/>
          <w:b/>
          <w:bCs/>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 xml:space="preserve">מאל נפאע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w:t>
      </w:r>
      <w:r>
        <w:rPr>
          <w:rFonts w:cs="Arial" w:ascii="Arial" w:hAnsi="Arial"/>
          <w:b/>
          <w:bCs/>
          <w:rtl w:val="true"/>
        </w:rPr>
        <w:t xml:space="preserve">). </w:t>
      </w:r>
      <w:r>
        <w:rPr>
          <w:rFonts w:ascii="Arial" w:hAnsi="Arial" w:cs="Arial"/>
          <w:rtl w:val="true"/>
        </w:rPr>
        <w:t>נטען שסחר בלתי חוקי בנשק מאפשר ומגביר עבירות אלימות והפכו למכת מדינה של ממש</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14</w:t>
      </w:r>
      <w:r>
        <w:rPr>
          <w:rFonts w:cs="Arial" w:ascii="Arial" w:hAnsi="Arial"/>
          <w:rtl w:val="true"/>
        </w:rPr>
        <w:t>.</w:t>
        <w:tab/>
      </w:r>
      <w:r>
        <w:rPr>
          <w:rFonts w:ascii="Arial" w:hAnsi="Arial" w:cs="Arial"/>
          <w:rtl w:val="true"/>
        </w:rPr>
        <w:t>כמו כן צוין הקושי לגלות את ביצוע העבירות וכן הפיתוי הנובע מכך לבצען</w:t>
      </w:r>
      <w:r>
        <w:rPr>
          <w:rFonts w:cs="Arial" w:ascii="Arial" w:hAnsi="Arial"/>
          <w:rtl w:val="true"/>
        </w:rPr>
        <w:t xml:space="preserve">. </w:t>
      </w:r>
      <w:r>
        <w:rPr>
          <w:rFonts w:ascii="Arial" w:hAnsi="Arial" w:cs="Arial"/>
          <w:rtl w:val="true"/>
        </w:rPr>
        <w:t xml:space="preserve">נטען שמתחם העונש ההולם נע בין </w:t>
      </w:r>
      <w:r>
        <w:rPr>
          <w:rFonts w:cs="Arial" w:ascii="Arial" w:hAnsi="Arial"/>
        </w:rPr>
        <w:t>5-8</w:t>
      </w:r>
      <w:r>
        <w:rPr>
          <w:rFonts w:cs="Arial" w:ascii="Arial" w:hAnsi="Arial"/>
          <w:rtl w:val="true"/>
        </w:rPr>
        <w:t xml:space="preserve"> </w:t>
      </w:r>
      <w:r>
        <w:rPr>
          <w:rFonts w:ascii="Arial" w:hAnsi="Arial" w:cs="Arial"/>
          <w:rtl w:val="true"/>
        </w:rPr>
        <w:t>שנות מאסר בפועל בצירוף מאסר על תנאי מרתיע ומשמעותי וקנס</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באשר לנסיבותיו האישיות של הנאשם הוזכר שהוא הודה במסגרת הסדר טיעון אך שהודאתו הגיעה בשלבים מתקדמים של המשפט</w:t>
      </w:r>
      <w:r>
        <w:rPr>
          <w:rFonts w:cs="Arial" w:ascii="Arial" w:hAnsi="Arial"/>
          <w:rtl w:val="true"/>
        </w:rPr>
        <w:t xml:space="preserve">, </w:t>
      </w:r>
      <w:r>
        <w:rPr>
          <w:rFonts w:ascii="Arial" w:hAnsi="Arial" w:cs="Arial"/>
          <w:rtl w:val="true"/>
        </w:rPr>
        <w:t>שלב פרשת ההגנה</w:t>
      </w:r>
      <w:r>
        <w:rPr>
          <w:rFonts w:cs="Arial" w:ascii="Arial" w:hAnsi="Arial"/>
          <w:rtl w:val="true"/>
        </w:rPr>
        <w:t xml:space="preserve">, </w:t>
      </w:r>
      <w:r>
        <w:rPr>
          <w:rFonts w:ascii="Arial" w:hAnsi="Arial" w:cs="Arial"/>
          <w:rtl w:val="true"/>
        </w:rPr>
        <w:t>לאחר שהוא כבר העיד ולאחר שהתקיימו דיוני הוכחות רבים</w:t>
      </w:r>
      <w:r>
        <w:rPr>
          <w:rFonts w:cs="Arial" w:ascii="Arial" w:hAnsi="Arial"/>
          <w:rtl w:val="true"/>
        </w:rPr>
        <w:t xml:space="preserve">. </w:t>
      </w:r>
      <w:r>
        <w:rPr>
          <w:rFonts w:ascii="Arial" w:hAnsi="Arial" w:cs="Arial"/>
          <w:rtl w:val="true"/>
        </w:rPr>
        <w:t>המאשימה טענה שלא ניתן במצב זה לקבוע שהנאשם הביא לחיסכון בזמן שיפוטי</w:t>
      </w:r>
      <w:r>
        <w:rPr>
          <w:rFonts w:cs="Arial" w:ascii="Arial" w:hAnsi="Arial"/>
          <w:rtl w:val="true"/>
        </w:rPr>
        <w:t xml:space="preserve">. </w:t>
      </w:r>
      <w:r>
        <w:rPr>
          <w:rFonts w:ascii="Arial" w:hAnsi="Arial" w:cs="Arial"/>
          <w:rtl w:val="true"/>
        </w:rPr>
        <w:t>נטען שאין שיקולי שיקום שמצדיקים סטייה ממתחם הענישה ההולם</w:t>
      </w:r>
      <w:r>
        <w:rPr>
          <w:rFonts w:cs="Arial" w:ascii="Arial" w:hAnsi="Arial"/>
          <w:rtl w:val="true"/>
        </w:rPr>
        <w:t xml:space="preserve">, </w:t>
      </w:r>
      <w:r>
        <w:rPr>
          <w:rFonts w:ascii="Arial" w:hAnsi="Arial" w:cs="Arial"/>
          <w:rtl w:val="true"/>
        </w:rPr>
        <w:t>ולא הונח תסקיר מטעמים המצדיקים הקלה כלשהי בעונש</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16</w:t>
      </w:r>
      <w:r>
        <w:rPr>
          <w:rFonts w:cs="Arial" w:ascii="Arial" w:hAnsi="Arial"/>
          <w:rtl w:val="true"/>
        </w:rPr>
        <w:t>.</w:t>
        <w:tab/>
      </w:r>
      <w:r>
        <w:rPr>
          <w:rFonts w:ascii="Arial" w:hAnsi="Arial" w:cs="Arial"/>
          <w:rtl w:val="true"/>
        </w:rPr>
        <w:t xml:space="preserve">באשר לעברו הפלילי הוזכר שמדובר בנאשם רצידיוויסט בעל עבר פלילי מכביד ביותר שלחובתו </w:t>
      </w:r>
      <w:r>
        <w:rPr>
          <w:rFonts w:cs="Arial" w:ascii="Arial" w:hAnsi="Arial"/>
        </w:rPr>
        <w:t>9</w:t>
      </w:r>
      <w:r>
        <w:rPr>
          <w:rFonts w:cs="Arial" w:ascii="Arial" w:hAnsi="Arial"/>
          <w:rtl w:val="true"/>
        </w:rPr>
        <w:t xml:space="preserve"> </w:t>
      </w:r>
      <w:r>
        <w:rPr>
          <w:rFonts w:ascii="Arial" w:hAnsi="Arial" w:cs="Arial"/>
          <w:rtl w:val="true"/>
        </w:rPr>
        <w:t>הרשעות קודמות בעבירות נשק ובעבירות אחרות</w:t>
      </w:r>
      <w:r>
        <w:rPr>
          <w:rFonts w:cs="Arial" w:ascii="Arial" w:hAnsi="Arial"/>
          <w:rtl w:val="true"/>
        </w:rPr>
        <w:t xml:space="preserve">. </w:t>
      </w:r>
      <w:r>
        <w:rPr>
          <w:rFonts w:ascii="Arial" w:hAnsi="Arial" w:cs="Arial"/>
          <w:rtl w:val="true"/>
        </w:rPr>
        <w:t xml:space="preserve">הנאשם ריצה עונשי מאסר ממושכים בהיקף של שנים רבות ובמצטבר כמעט </w:t>
      </w:r>
      <w:r>
        <w:rPr>
          <w:rFonts w:cs="Arial" w:ascii="Arial" w:hAnsi="Arial"/>
        </w:rPr>
        <w:t>16</w:t>
      </w:r>
      <w:r>
        <w:rPr>
          <w:rFonts w:cs="Arial" w:ascii="Arial" w:hAnsi="Arial"/>
          <w:rtl w:val="true"/>
        </w:rPr>
        <w:t xml:space="preserve"> </w:t>
      </w:r>
      <w:r>
        <w:rPr>
          <w:rFonts w:ascii="Arial" w:hAnsi="Arial" w:cs="Arial"/>
          <w:rtl w:val="true"/>
        </w:rPr>
        <w:t xml:space="preserve">שנים שבילה מתוך השנים </w:t>
      </w:r>
      <w:r>
        <w:rPr>
          <w:rFonts w:cs="Arial" w:ascii="Arial" w:hAnsi="Arial"/>
        </w:rPr>
        <w:t>1999-2018</w:t>
      </w:r>
      <w:r>
        <w:rPr>
          <w:rFonts w:cs="Arial" w:ascii="Arial" w:hAnsi="Arial"/>
          <w:rtl w:val="true"/>
        </w:rPr>
        <w:t xml:space="preserve"> </w:t>
      </w:r>
      <w:r>
        <w:rPr>
          <w:rFonts w:ascii="Arial" w:hAnsi="Arial" w:cs="Arial"/>
          <w:rtl w:val="true"/>
        </w:rPr>
        <w:t>מאחורי סורג ובריח</w:t>
      </w:r>
      <w:r>
        <w:rPr>
          <w:rFonts w:cs="Arial" w:ascii="Arial" w:hAnsi="Arial"/>
          <w:rtl w:val="true"/>
        </w:rPr>
        <w:t xml:space="preserve">. </w:t>
      </w:r>
      <w:r>
        <w:rPr>
          <w:rFonts w:ascii="Arial" w:hAnsi="Arial" w:cs="Arial"/>
          <w:rtl w:val="true"/>
        </w:rPr>
        <w:t>נטען עוד שהעבירות הנוכחיות בוצעו כחודשיים וחצי לאחר שחרורו למרות קיום מאסר על תנאי ביחס אליו</w:t>
      </w:r>
      <w:r>
        <w:rPr>
          <w:rFonts w:cs="Arial" w:ascii="Arial" w:hAnsi="Arial"/>
          <w:rtl w:val="true"/>
        </w:rPr>
        <w:t xml:space="preserve">. </w:t>
      </w:r>
      <w:r>
        <w:rPr>
          <w:rFonts w:ascii="Arial" w:hAnsi="Arial" w:cs="Arial"/>
          <w:rtl w:val="true"/>
        </w:rPr>
        <w:t>נטען שהנאשם לא למד לקח מהעונשים שהוטלו בעברו ונטען שמדובר בדפוס עברייני מושרש</w:t>
      </w:r>
      <w:r>
        <w:rPr>
          <w:rFonts w:cs="Arial" w:ascii="Arial" w:hAnsi="Arial"/>
          <w:rtl w:val="true"/>
        </w:rPr>
        <w:t xml:space="preserve">. </w:t>
      </w:r>
      <w:r>
        <w:rPr>
          <w:rFonts w:ascii="Arial" w:hAnsi="Arial" w:cs="Arial"/>
          <w:rtl w:val="true"/>
        </w:rPr>
        <w:t xml:space="preserve">נטען שהמקרה מצדיק הפעלת </w:t>
      </w:r>
      <w:hyperlink r:id="rId34">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ascii="Arial" w:hAnsi="Arial" w:cs="Arial"/>
            <w:color w:val="0000FF"/>
            <w:u w:val="single"/>
            <w:rtl w:val="true"/>
          </w:rPr>
          <w:t>ה</w:t>
        </w:r>
      </w:hyperlink>
      <w:r>
        <w:rPr>
          <w:rFonts w:ascii="Arial" w:hAnsi="Arial" w:cs="Arial"/>
          <w:rtl w:val="true"/>
        </w:rPr>
        <w:t xml:space="preserve"> ל</w:t>
      </w:r>
      <w:hyperlink r:id="rId35">
        <w:r>
          <w:rPr>
            <w:rStyle w:val="Hyperlink"/>
            <w:rFonts w:ascii="Arial" w:hAnsi="Arial" w:cs="Arial"/>
            <w:color w:val="0000FF"/>
            <w:u w:val="single"/>
            <w:rtl w:val="true"/>
          </w:rPr>
          <w:t>חוק העונשין</w:t>
        </w:r>
      </w:hyperlink>
      <w:r>
        <w:rPr>
          <w:rFonts w:ascii="Arial" w:hAnsi="Arial" w:cs="Arial"/>
          <w:rtl w:val="true"/>
        </w:rPr>
        <w:t xml:space="preserve"> והוזכרה פסיקה בעניין זה</w:t>
      </w:r>
      <w:r>
        <w:rPr>
          <w:rFonts w:cs="Arial" w:ascii="Arial" w:hAnsi="Arial"/>
          <w:rtl w:val="true"/>
        </w:rPr>
        <w:t xml:space="preserve">. </w:t>
      </w:r>
      <w:r>
        <w:rPr>
          <w:rFonts w:ascii="Arial" w:hAnsi="Arial" w:cs="Arial"/>
          <w:rtl w:val="true"/>
        </w:rPr>
        <w:t>כמו כן התבקש להפעיל במצטבר באופן מלא את המאסר התנאי שחל לגבי הנאשם</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 ב</w:t>
      </w:r>
      <w:r>
        <w:rPr>
          <w:rFonts w:cs="Arial" w:ascii="Arial" w:hAnsi="Arial"/>
          <w:b/>
          <w:bCs/>
          <w:u w:val="single"/>
          <w:rtl w:val="true"/>
        </w:rPr>
        <w:t>"</w:t>
      </w:r>
      <w:r>
        <w:rPr>
          <w:rFonts w:ascii="Arial" w:hAnsi="Arial" w:cs="Arial"/>
          <w:b/>
          <w:b/>
          <w:bCs/>
          <w:u w:val="single"/>
          <w:rtl w:val="true"/>
        </w:rPr>
        <w:t>כ הנאשם לעונש</w:t>
      </w:r>
      <w:r>
        <w:rPr>
          <w:rFonts w:cs="Arial" w:ascii="Arial" w:hAnsi="Arial"/>
          <w:b/>
          <w:bCs/>
          <w:u w:val="single"/>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17</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הנאשם טען שאין מקום לקבל את טענות המדינה</w:t>
      </w:r>
      <w:r>
        <w:rPr>
          <w:rFonts w:cs="Arial" w:ascii="Arial" w:hAnsi="Arial"/>
          <w:rtl w:val="true"/>
        </w:rPr>
        <w:t xml:space="preserve">. </w:t>
      </w:r>
      <w:r>
        <w:rPr>
          <w:rFonts w:ascii="Arial" w:hAnsi="Arial" w:cs="Arial"/>
          <w:rtl w:val="true"/>
        </w:rPr>
        <w:t xml:space="preserve">הוא המשיך וטען שאין זה נהוג בשנים האחרונות להפעיל את </w:t>
      </w:r>
      <w:hyperlink r:id="rId36">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cs="Arial" w:ascii="Arial" w:hAnsi="Arial"/>
            <w:color w:val="0000FF"/>
            <w:u w:val="single"/>
            <w:rtl w:val="true"/>
          </w:rPr>
          <w:t>(</w:t>
        </w:r>
        <w:r>
          <w:rPr>
            <w:rStyle w:val="Hyperlink"/>
            <w:rFonts w:ascii="Arial" w:hAnsi="Arial" w:cs="Arial"/>
            <w:color w:val="0000FF"/>
            <w:u w:val="single"/>
            <w:rtl w:val="true"/>
          </w:rPr>
          <w:t>ה</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37">
        <w:r>
          <w:rPr>
            <w:rStyle w:val="Hyperlink"/>
            <w:rFonts w:ascii="Arial" w:hAnsi="Arial" w:cs="Arial"/>
            <w:color w:val="0000FF"/>
            <w:u w:val="single"/>
            <w:rtl w:val="true"/>
          </w:rPr>
          <w:t>חוק העונשין</w:t>
        </w:r>
      </w:hyperlink>
      <w:r>
        <w:rPr>
          <w:rFonts w:ascii="Arial" w:hAnsi="Arial" w:cs="Arial"/>
          <w:rtl w:val="true"/>
        </w:rPr>
        <w:t xml:space="preserve"> רק על סמך עבר פלילי</w:t>
      </w:r>
      <w:r>
        <w:rPr>
          <w:rFonts w:cs="Arial" w:ascii="Arial" w:hAnsi="Arial"/>
          <w:rtl w:val="true"/>
        </w:rPr>
        <w:t xml:space="preserve">, </w:t>
      </w:r>
      <w:r>
        <w:rPr>
          <w:rFonts w:ascii="Arial" w:hAnsi="Arial" w:cs="Arial"/>
          <w:rtl w:val="true"/>
        </w:rPr>
        <w:t>זאת למרות שבמחוז ובמדינה נידונים תיקים פליליים חמורים רבים</w:t>
      </w:r>
      <w:r>
        <w:rPr>
          <w:rFonts w:cs="Arial" w:ascii="Arial" w:hAnsi="Arial"/>
          <w:rtl w:val="true"/>
        </w:rPr>
        <w:t xml:space="preserve">. </w:t>
      </w:r>
      <w:r>
        <w:rPr>
          <w:rFonts w:ascii="Arial" w:hAnsi="Arial" w:cs="Arial"/>
          <w:rtl w:val="true"/>
        </w:rPr>
        <w:t xml:space="preserve">הוא המשיך וטען </w:t>
      </w:r>
      <w:r>
        <w:rPr>
          <w:rFonts w:cs="Arial" w:ascii="Arial" w:hAnsi="Arial"/>
          <w:rtl w:val="true"/>
        </w:rPr>
        <w:t>"</w:t>
      </w:r>
      <w:r>
        <w:rPr>
          <w:rFonts w:ascii="Arial" w:hAnsi="Arial" w:cs="Arial"/>
          <w:rtl w:val="true"/>
        </w:rPr>
        <w:t>אני אישית כסנגור הרבה שנים ומדי יום ביהמ</w:t>
      </w:r>
      <w:r>
        <w:rPr>
          <w:rFonts w:cs="Arial" w:ascii="Arial" w:hAnsi="Arial"/>
          <w:rtl w:val="true"/>
        </w:rPr>
        <w:t>"</w:t>
      </w:r>
      <w:r>
        <w:rPr>
          <w:rFonts w:ascii="Arial" w:hAnsi="Arial" w:cs="Arial"/>
          <w:rtl w:val="true"/>
        </w:rPr>
        <w:t>ש ושומע וטוען</w:t>
      </w:r>
      <w:r>
        <w:rPr>
          <w:rFonts w:cs="Arial" w:ascii="Arial" w:hAnsi="Arial"/>
          <w:rtl w:val="true"/>
        </w:rPr>
        <w:t xml:space="preserve">, </w:t>
      </w:r>
      <w:r>
        <w:rPr>
          <w:rFonts w:ascii="Arial" w:hAnsi="Arial" w:cs="Arial"/>
          <w:rtl w:val="true"/>
        </w:rPr>
        <w:t>אני לא שמעתי על מקרה אחד</w:t>
      </w:r>
      <w:r>
        <w:rPr>
          <w:rFonts w:cs="Arial" w:ascii="Arial" w:hAnsi="Arial"/>
          <w:rtl w:val="true"/>
        </w:rPr>
        <w:t xml:space="preserve">". </w:t>
      </w:r>
      <w:r>
        <w:rPr>
          <w:rFonts w:ascii="Arial" w:hAnsi="Arial" w:cs="Arial"/>
          <w:rtl w:val="true"/>
        </w:rPr>
        <w:t>הסנגור טען שאין זה מתאים למדיניות הקבועה הנהוגה על ידי פרקליטות מחוז חיפה ובוודאי שלא במקרה הנוכחי</w:t>
      </w:r>
      <w:r>
        <w:rPr>
          <w:rFonts w:cs="Arial" w:ascii="Arial" w:hAnsi="Arial"/>
          <w:rtl w:val="true"/>
        </w:rPr>
        <w:t xml:space="preserve">.  </w:t>
      </w:r>
      <w:r>
        <w:rPr>
          <w:rFonts w:ascii="Arial" w:hAnsi="Arial" w:cs="Arial"/>
          <w:rtl w:val="true"/>
        </w:rPr>
        <w:t xml:space="preserve">נטען שאין זה אפשרי ליצור במקרה הנידון תקדים על גבו של הנאשם רק מכיוון שהתביעה מעוניינת להשיג עונש חמור וזאת מכיוון שהתיק הוא חלק מקבוצה של תיקים באותה פרשה </w:t>
      </w:r>
      <w:r>
        <w:rPr>
          <w:rFonts w:cs="Arial" w:ascii="Arial" w:hAnsi="Arial"/>
          <w:rtl w:val="true"/>
        </w:rPr>
        <w:t>(</w:t>
      </w:r>
      <w:r>
        <w:rPr>
          <w:rFonts w:ascii="Arial" w:hAnsi="Arial" w:cs="Arial"/>
          <w:rtl w:val="true"/>
        </w:rPr>
        <w:t>תיקי הסוכן</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נטען שלא יעלה על הדעת שהתביעה במסגרת קבוצת תיקים דומים פחות או יותר משלימה עם עונשים מסוימים</w:t>
      </w:r>
      <w:r>
        <w:rPr>
          <w:rFonts w:cs="Arial" w:ascii="Arial" w:hAnsi="Arial"/>
          <w:rtl w:val="true"/>
        </w:rPr>
        <w:t xml:space="preserve">, </w:t>
      </w:r>
      <w:r>
        <w:rPr>
          <w:rFonts w:ascii="Arial" w:hAnsi="Arial" w:cs="Arial"/>
          <w:rtl w:val="true"/>
        </w:rPr>
        <w:t>מקלים יותר בהרבה</w:t>
      </w:r>
      <w:r>
        <w:rPr>
          <w:rFonts w:cs="Arial" w:ascii="Arial" w:hAnsi="Arial"/>
          <w:rtl w:val="true"/>
        </w:rPr>
        <w:t xml:space="preserve">, </w:t>
      </w:r>
      <w:r>
        <w:rPr>
          <w:rFonts w:ascii="Arial" w:hAnsi="Arial" w:cs="Arial"/>
          <w:rtl w:val="true"/>
        </w:rPr>
        <w:t>ובתיק אחד שאין בו דבר חריג מבקשת מבית המשפט ליצור תקדים ראשון במחוז בחיפה</w:t>
      </w:r>
      <w:r>
        <w:rPr>
          <w:rFonts w:cs="Arial" w:ascii="Arial" w:hAnsi="Arial"/>
          <w:rtl w:val="true"/>
        </w:rPr>
        <w:t xml:space="preserve">. </w:t>
      </w:r>
      <w:r>
        <w:rPr>
          <w:rFonts w:ascii="Arial" w:hAnsi="Arial" w:cs="Arial"/>
          <w:rtl w:val="true"/>
        </w:rPr>
        <w:t xml:space="preserve">נטען שהמתחם שהוצע על ידי המדינה מופרך וללא בסיס בפסיקה וביתר שאת מופרך לבקש לעשות שימוש </w:t>
      </w:r>
      <w:hyperlink r:id="rId38">
        <w:r>
          <w:rPr>
            <w:rStyle w:val="Hyperlink"/>
            <w:rFonts w:ascii="Arial" w:hAnsi="Arial" w:cs="Arial"/>
            <w:color w:val="0000FF"/>
            <w:u w:val="single"/>
            <w:rtl w:val="true"/>
          </w:rPr>
          <w:t xml:space="preserve">בסעיף </w:t>
        </w:r>
        <w:r>
          <w:rPr>
            <w:rStyle w:val="Hyperlink"/>
            <w:rFonts w:cs="Arial" w:ascii="Arial" w:hAnsi="Arial"/>
            <w:color w:val="0000FF"/>
            <w:u w:val="single"/>
          </w:rPr>
          <w:t>40</w:t>
        </w:r>
        <w:r>
          <w:rPr>
            <w:rStyle w:val="Hyperlink"/>
            <w:rFonts w:cs="Arial" w:ascii="Arial" w:hAnsi="Arial"/>
            <w:color w:val="0000FF"/>
            <w:u w:val="single"/>
            <w:rtl w:val="true"/>
          </w:rPr>
          <w:t>(</w:t>
        </w:r>
        <w:r>
          <w:rPr>
            <w:rStyle w:val="Hyperlink"/>
            <w:rFonts w:ascii="Arial" w:hAnsi="Arial" w:cs="Arial"/>
            <w:color w:val="0000FF"/>
            <w:u w:val="single"/>
            <w:rtl w:val="true"/>
          </w:rPr>
          <w:t>ה</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19</w:t>
      </w:r>
      <w:r>
        <w:rPr>
          <w:rFonts w:cs="Arial" w:ascii="Arial" w:hAnsi="Arial"/>
          <w:rtl w:val="true"/>
        </w:rPr>
        <w:t>.</w:t>
        <w:tab/>
      </w:r>
      <w:r>
        <w:rPr>
          <w:rFonts w:ascii="Arial" w:hAnsi="Arial" w:cs="Arial"/>
          <w:rtl w:val="true"/>
        </w:rPr>
        <w:t>הסנגור טען שנשמעו חלק ניכר מהראיות ונשמע גם קו ההגנה</w:t>
      </w:r>
      <w:r>
        <w:rPr>
          <w:rFonts w:cs="Arial" w:ascii="Arial" w:hAnsi="Arial"/>
          <w:rtl w:val="true"/>
        </w:rPr>
        <w:t xml:space="preserve">, </w:t>
      </w:r>
      <w:r>
        <w:rPr>
          <w:rFonts w:ascii="Arial" w:hAnsi="Arial" w:cs="Arial"/>
          <w:rtl w:val="true"/>
        </w:rPr>
        <w:t>ונטען שמדובר בקו הגנה לגיטימי נוכח מארג הראיות</w:t>
      </w:r>
      <w:r>
        <w:rPr>
          <w:rFonts w:cs="Arial" w:ascii="Arial" w:hAnsi="Arial"/>
          <w:rtl w:val="true"/>
        </w:rPr>
        <w:t xml:space="preserve">. </w:t>
      </w:r>
      <w:r>
        <w:rPr>
          <w:rFonts w:ascii="Arial" w:hAnsi="Arial" w:cs="Arial"/>
          <w:rtl w:val="true"/>
        </w:rPr>
        <w:t>נטען שהנאשם לא חלק על העובדה שנפגש עם הסוכן ומכר לו נשק</w:t>
      </w:r>
      <w:r>
        <w:rPr>
          <w:rFonts w:cs="Arial" w:ascii="Arial" w:hAnsi="Arial"/>
          <w:rtl w:val="true"/>
        </w:rPr>
        <w:t xml:space="preserve">, </w:t>
      </w:r>
      <w:r>
        <w:rPr>
          <w:rFonts w:ascii="Arial" w:hAnsi="Arial" w:cs="Arial"/>
          <w:rtl w:val="true"/>
        </w:rPr>
        <w:t xml:space="preserve">אלא הוסיף וטען שהודח במסגרת הפגישה הראשונה שלא תועדה באמצעים חיצוניים </w:t>
      </w:r>
      <w:r>
        <w:rPr>
          <w:rFonts w:cs="Arial" w:ascii="Arial" w:hAnsi="Arial"/>
          <w:rtl w:val="true"/>
        </w:rPr>
        <w:t>(</w:t>
      </w:r>
      <w:r>
        <w:rPr>
          <w:rFonts w:ascii="Arial" w:hAnsi="Arial" w:cs="Arial"/>
          <w:rtl w:val="true"/>
        </w:rPr>
        <w:t>המדינה התנגדה לטיעון זה כאשר נטען שהדברים לא באו לידי ביטוי בכתב האישום המתוקן בו הודה הנאשם</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הסכים הסנגור שהנאשם ויתר על הטענה האמורה</w:t>
      </w:r>
      <w:r>
        <w:rPr>
          <w:rFonts w:cs="Arial" w:ascii="Arial" w:hAnsi="Arial"/>
          <w:rtl w:val="true"/>
        </w:rPr>
        <w:t xml:space="preserve">, </w:t>
      </w:r>
      <w:r>
        <w:rPr>
          <w:rFonts w:ascii="Arial" w:hAnsi="Arial" w:cs="Arial"/>
          <w:rtl w:val="true"/>
        </w:rPr>
        <w:t>אך חזר וטען שמדובר במחדל חקירתי שיש לקחת אותו בחשבון</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20</w:t>
      </w:r>
      <w:r>
        <w:rPr>
          <w:rFonts w:cs="Arial" w:ascii="Arial" w:hAnsi="Arial"/>
          <w:rtl w:val="true"/>
        </w:rPr>
        <w:t>.</w:t>
        <w:tab/>
      </w:r>
      <w:r>
        <w:rPr>
          <w:rFonts w:ascii="Arial" w:hAnsi="Arial" w:cs="Arial"/>
          <w:rtl w:val="true"/>
        </w:rPr>
        <w:t>הסנגור חזר וטען שהנאשם לא היה חלק מהיעדים המתוכננים של אותו סוכן</w:t>
      </w:r>
      <w:r>
        <w:rPr>
          <w:rFonts w:cs="Arial" w:ascii="Arial" w:hAnsi="Arial"/>
          <w:rtl w:val="true"/>
        </w:rPr>
        <w:t xml:space="preserve">, </w:t>
      </w:r>
      <w:r>
        <w:rPr>
          <w:rFonts w:ascii="Arial" w:hAnsi="Arial" w:cs="Arial"/>
          <w:rtl w:val="true"/>
        </w:rPr>
        <w:t>ושהקשר עמו נוצר באופן מקרי</w:t>
      </w:r>
      <w:r>
        <w:rPr>
          <w:rFonts w:cs="Arial" w:ascii="Arial" w:hAnsi="Arial"/>
          <w:rtl w:val="true"/>
        </w:rPr>
        <w:t xml:space="preserve">, </w:t>
      </w:r>
      <w:r>
        <w:rPr>
          <w:rFonts w:ascii="Arial" w:hAnsi="Arial" w:cs="Arial"/>
          <w:rtl w:val="true"/>
        </w:rPr>
        <w:t xml:space="preserve">דבר שיש אותו הוא לקחת בחשבון </w:t>
      </w:r>
      <w:r>
        <w:rPr>
          <w:rFonts w:cs="Arial" w:ascii="Arial" w:hAnsi="Arial"/>
          <w:rtl w:val="true"/>
        </w:rPr>
        <w:t>(</w:t>
      </w:r>
      <w:r>
        <w:rPr>
          <w:rFonts w:ascii="Arial" w:hAnsi="Arial" w:cs="Arial"/>
          <w:rtl w:val="true"/>
        </w:rPr>
        <w:t>גם לטענה זו התנגדה המדינה</w:t>
      </w:r>
      <w:r>
        <w:rPr>
          <w:rFonts w:cs="Arial" w:ascii="Arial" w:hAnsi="Arial"/>
          <w:rtl w:val="true"/>
        </w:rPr>
        <w:t xml:space="preserve">). </w:t>
      </w:r>
      <w:r>
        <w:rPr>
          <w:rFonts w:ascii="Arial" w:hAnsi="Arial" w:cs="Arial"/>
          <w:rtl w:val="true"/>
        </w:rPr>
        <w:t>הסנגור המשיך וביקש שביהמ</w:t>
      </w:r>
      <w:r>
        <w:rPr>
          <w:rFonts w:cs="Arial" w:ascii="Arial" w:hAnsi="Arial"/>
          <w:rtl w:val="true"/>
        </w:rPr>
        <w:t>"</w:t>
      </w:r>
      <w:r>
        <w:rPr>
          <w:rFonts w:ascii="Arial" w:hAnsi="Arial" w:cs="Arial"/>
          <w:rtl w:val="true"/>
        </w:rPr>
        <w:t>ש יסיק שההתקשרות בין הסוכן לנאשם נוצרה באופן מקרי</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21</w:t>
      </w:r>
      <w:r>
        <w:rPr>
          <w:rFonts w:cs="Arial" w:ascii="Arial" w:hAnsi="Arial"/>
          <w:rtl w:val="true"/>
        </w:rPr>
        <w:t>.</w:t>
        <w:tab/>
      </w:r>
      <w:r>
        <w:rPr>
          <w:rFonts w:ascii="Arial" w:hAnsi="Arial" w:cs="Arial"/>
          <w:rtl w:val="true"/>
        </w:rPr>
        <w:t>הסנגור טען כי לאחר ההודאה הנאשם אמור לתת את הדין על עסקה אחת בהתאם לכתב האישום</w:t>
      </w:r>
      <w:r>
        <w:rPr>
          <w:rFonts w:cs="Arial" w:ascii="Arial" w:hAnsi="Arial"/>
          <w:rtl w:val="true"/>
        </w:rPr>
        <w:t xml:space="preserve">. </w:t>
      </w:r>
      <w:r>
        <w:rPr>
          <w:rFonts w:ascii="Arial" w:hAnsi="Arial" w:cs="Arial"/>
          <w:rtl w:val="true"/>
        </w:rPr>
        <w:t>נטען שאין כל יסוד לאמץ את מתחם הענישה שמוצע ע</w:t>
      </w:r>
      <w:r>
        <w:rPr>
          <w:rFonts w:cs="Arial" w:ascii="Arial" w:hAnsi="Arial"/>
          <w:rtl w:val="true"/>
        </w:rPr>
        <w:t>"</w:t>
      </w:r>
      <w:r>
        <w:rPr>
          <w:rFonts w:ascii="Arial" w:hAnsi="Arial" w:cs="Arial"/>
          <w:rtl w:val="true"/>
        </w:rPr>
        <w:t>י המדינה ונטען שאף הפסיקה שהובאה ע</w:t>
      </w:r>
      <w:r>
        <w:rPr>
          <w:rFonts w:cs="Arial" w:ascii="Arial" w:hAnsi="Arial"/>
          <w:rtl w:val="true"/>
        </w:rPr>
        <w:t>"</w:t>
      </w:r>
      <w:r>
        <w:rPr>
          <w:rFonts w:ascii="Arial" w:hAnsi="Arial" w:cs="Arial"/>
          <w:rtl w:val="true"/>
        </w:rPr>
        <w:t>י המדינה בקושי מגיעה לגבול התחתון של המתחם שהוצע</w:t>
      </w:r>
      <w:r>
        <w:rPr>
          <w:rFonts w:cs="Arial" w:ascii="Arial" w:hAnsi="Arial"/>
          <w:rtl w:val="true"/>
        </w:rPr>
        <w:t xml:space="preserve">. </w:t>
      </w:r>
      <w:r>
        <w:rPr>
          <w:rFonts w:ascii="Arial" w:hAnsi="Arial" w:cs="Arial"/>
          <w:rtl w:val="true"/>
        </w:rPr>
        <w:t>נטען שאין המקרה שונה מהמקרים האחרים הנידונים במסגרת אותו מבצע</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22</w:t>
      </w:r>
      <w:r>
        <w:rPr>
          <w:rFonts w:cs="Arial" w:ascii="Arial" w:hAnsi="Arial"/>
          <w:rtl w:val="true"/>
        </w:rPr>
        <w:t>.</w:t>
        <w:tab/>
      </w:r>
      <w:r>
        <w:rPr>
          <w:rFonts w:ascii="Arial" w:hAnsi="Arial" w:cs="Arial"/>
          <w:rtl w:val="true"/>
        </w:rPr>
        <w:t>נטען שרמת הענישה שהוטלה על הנאשמים האחרים במסגרת המבצע רלבנטית במיוחד</w:t>
      </w:r>
      <w:r>
        <w:rPr>
          <w:rFonts w:cs="Arial" w:ascii="Arial" w:hAnsi="Arial"/>
          <w:rtl w:val="true"/>
        </w:rPr>
        <w:t xml:space="preserve">, </w:t>
      </w:r>
      <w:r>
        <w:rPr>
          <w:rFonts w:ascii="Arial" w:hAnsi="Arial" w:cs="Arial"/>
          <w:rtl w:val="true"/>
        </w:rPr>
        <w:t>וכי עקרון אחידות הענישה חל בנידון</w:t>
      </w:r>
      <w:r>
        <w:rPr>
          <w:rFonts w:cs="Arial" w:ascii="Arial" w:hAnsi="Arial"/>
          <w:rtl w:val="true"/>
        </w:rPr>
        <w:t xml:space="preserve">. </w:t>
      </w:r>
      <w:r>
        <w:rPr>
          <w:rFonts w:ascii="Arial" w:hAnsi="Arial" w:cs="Arial"/>
          <w:rtl w:val="true"/>
        </w:rPr>
        <w:t xml:space="preserve">נטען שבמקרה של הנאשם בוהדנה מדובר בעבירה של סחר בנשק </w:t>
      </w:r>
      <w:r>
        <w:rPr>
          <w:rFonts w:cs="Arial" w:ascii="Arial" w:hAnsi="Arial"/>
          <w:rtl w:val="true"/>
        </w:rPr>
        <w:t xml:space="preserve">- </w:t>
      </w:r>
      <w:r>
        <w:rPr>
          <w:rFonts w:ascii="Arial" w:hAnsi="Arial" w:cs="Arial"/>
          <w:rtl w:val="true"/>
        </w:rPr>
        <w:t xml:space="preserve">אקדח  ואישום נוסף בגין עבירה של סחר בסמים ועוד אישום בגין סחר בתת מקלע לא תקני מאולתר ושם נגזרו </w:t>
      </w:r>
      <w:r>
        <w:rPr>
          <w:rFonts w:cs="Arial" w:ascii="Arial" w:hAnsi="Arial"/>
        </w:rPr>
        <w:t>27</w:t>
      </w:r>
      <w:r>
        <w:rPr>
          <w:rFonts w:cs="Arial" w:ascii="Arial" w:hAnsi="Arial"/>
          <w:rtl w:val="true"/>
        </w:rPr>
        <w:t xml:space="preserve"> </w:t>
      </w:r>
      <w:r>
        <w:rPr>
          <w:rFonts w:ascii="Arial" w:hAnsi="Arial" w:cs="Arial"/>
          <w:rtl w:val="true"/>
        </w:rPr>
        <w:t>חודשי מאסר בלבד בהסכמת המדינה</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23</w:t>
      </w:r>
      <w:r>
        <w:rPr>
          <w:rFonts w:cs="Arial" w:ascii="Arial" w:hAnsi="Arial"/>
          <w:rtl w:val="true"/>
        </w:rPr>
        <w:t>.</w:t>
        <w:tab/>
      </w:r>
      <w:r>
        <w:rPr>
          <w:rFonts w:ascii="Arial" w:hAnsi="Arial" w:cs="Arial"/>
          <w:rtl w:val="true"/>
        </w:rPr>
        <w:t xml:space="preserve">אוזכר תיק נוסף </w:t>
      </w:r>
      <w:r>
        <w:rPr>
          <w:rFonts w:cs="Arial" w:ascii="Arial" w:hAnsi="Arial"/>
          <w:rtl w:val="true"/>
        </w:rPr>
        <w:t>(</w:t>
      </w:r>
      <w:r>
        <w:rPr>
          <w:rFonts w:ascii="Arial" w:hAnsi="Arial" w:cs="Arial"/>
          <w:rtl w:val="true"/>
        </w:rPr>
        <w:t>סבג</w:t>
      </w:r>
      <w:r>
        <w:rPr>
          <w:rFonts w:cs="Arial" w:ascii="Arial" w:hAnsi="Arial"/>
          <w:rtl w:val="true"/>
        </w:rPr>
        <w:t xml:space="preserve">) </w:t>
      </w:r>
      <w:r>
        <w:rPr>
          <w:rFonts w:ascii="Arial" w:hAnsi="Arial" w:cs="Arial"/>
          <w:rtl w:val="true"/>
        </w:rPr>
        <w:t xml:space="preserve">שם הסכימה המדינה בגין עבירה של סחר בנשק וסחר בסם והחזקת נשק לתקופת מאסר של </w:t>
      </w:r>
      <w:r>
        <w:rPr>
          <w:rFonts w:cs="Arial" w:ascii="Arial" w:hAnsi="Arial"/>
        </w:rPr>
        <w:t>12</w:t>
      </w:r>
      <w:r>
        <w:rPr>
          <w:rFonts w:cs="Arial" w:ascii="Arial" w:hAnsi="Arial"/>
          <w:rtl w:val="true"/>
        </w:rPr>
        <w:t xml:space="preserve"> </w:t>
      </w:r>
      <w:r>
        <w:rPr>
          <w:rFonts w:ascii="Arial" w:hAnsi="Arial" w:cs="Arial"/>
          <w:rtl w:val="true"/>
        </w:rPr>
        <w:t>חודשים ויום</w:t>
      </w:r>
      <w:r>
        <w:rPr>
          <w:rFonts w:cs="Arial" w:ascii="Arial" w:hAnsi="Arial"/>
          <w:rtl w:val="true"/>
        </w:rPr>
        <w:t xml:space="preserve">. </w:t>
      </w:r>
      <w:r>
        <w:rPr>
          <w:rFonts w:ascii="Arial" w:hAnsi="Arial" w:cs="Arial"/>
          <w:rtl w:val="true"/>
        </w:rPr>
        <w:t>נטען ששני מקרים אלה מהווים אינדיקציה ברורה בהיקף הענישה שיש להטיל</w:t>
      </w:r>
      <w:r>
        <w:rPr>
          <w:rFonts w:cs="Arial" w:ascii="Arial" w:hAnsi="Arial"/>
          <w:rtl w:val="true"/>
        </w:rPr>
        <w:t xml:space="preserve">. </w:t>
      </w:r>
      <w:r>
        <w:rPr>
          <w:rFonts w:ascii="Arial" w:hAnsi="Arial" w:cs="Arial"/>
          <w:rtl w:val="true"/>
        </w:rPr>
        <w:t xml:space="preserve">על כן נטען שמתחם הענישה הולם צריך לנוע בין </w:t>
      </w:r>
      <w:r>
        <w:rPr>
          <w:rFonts w:cs="Arial" w:ascii="Arial" w:hAnsi="Arial"/>
        </w:rPr>
        <w:t>12-27</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הוזכר שגם ככה עומד כנגד הנאשם מאסר על תנאי מכביד וארוך כאשר העונש צפוי ל</w:t>
      </w:r>
      <w:r>
        <w:rPr>
          <w:rFonts w:cs="Arial" w:ascii="Arial" w:hAnsi="Arial"/>
          <w:rtl w:val="true"/>
        </w:rPr>
        <w:t>"</w:t>
      </w:r>
      <w:r>
        <w:rPr>
          <w:rFonts w:ascii="Arial" w:hAnsi="Arial" w:cs="Arial"/>
          <w:rtl w:val="true"/>
        </w:rPr>
        <w:t>הקפיץ</w:t>
      </w:r>
      <w:r>
        <w:rPr>
          <w:rFonts w:cs="Arial" w:ascii="Arial" w:hAnsi="Arial"/>
          <w:rtl w:val="true"/>
        </w:rPr>
        <w:t xml:space="preserve">" </w:t>
      </w:r>
      <w:r>
        <w:rPr>
          <w:rFonts w:ascii="Arial" w:hAnsi="Arial" w:cs="Arial"/>
          <w:rtl w:val="true"/>
        </w:rPr>
        <w:t>את הענישה בצורה משמעותית ממילא</w:t>
      </w:r>
      <w:r>
        <w:rPr>
          <w:rFonts w:cs="Arial" w:ascii="Arial" w:hAnsi="Arial"/>
          <w:rtl w:val="true"/>
        </w:rPr>
        <w:t xml:space="preserve">. </w:t>
      </w:r>
      <w:r>
        <w:rPr>
          <w:rFonts w:ascii="Arial" w:hAnsi="Arial" w:cs="Arial"/>
          <w:rtl w:val="true"/>
        </w:rPr>
        <w:t>הסנגור טען שיש להפעיל את המאסר על תנאי מחציתו במצטבר ומחציתו בחופף בהתחשב בתיקים האחרים במבצע</w:t>
      </w:r>
      <w:r>
        <w:rPr>
          <w:rFonts w:cs="Arial" w:ascii="Arial" w:hAnsi="Arial"/>
          <w:rtl w:val="true"/>
        </w:rPr>
        <w:t xml:space="preserve">, </w:t>
      </w:r>
      <w:r>
        <w:rPr>
          <w:rFonts w:ascii="Arial" w:hAnsi="Arial" w:cs="Arial"/>
          <w:rtl w:val="true"/>
        </w:rPr>
        <w:t>ובהתחשב בכך שהנאשם נמצא במעצר תקופה ארוכה מאוד</w:t>
      </w:r>
      <w:r>
        <w:rPr>
          <w:rFonts w:cs="Arial" w:ascii="Arial" w:hAnsi="Arial"/>
          <w:rtl w:val="true"/>
        </w:rPr>
        <w:t xml:space="preserve">, </w:t>
      </w:r>
      <w:r>
        <w:rPr>
          <w:rFonts w:ascii="Arial" w:hAnsi="Arial" w:cs="Arial"/>
          <w:rtl w:val="true"/>
        </w:rPr>
        <w:t>כמעט שנתיים</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24</w:t>
      </w:r>
      <w:r>
        <w:rPr>
          <w:rFonts w:cs="Arial" w:ascii="Arial" w:hAnsi="Arial"/>
          <w:rtl w:val="true"/>
        </w:rPr>
        <w:t>.</w:t>
        <w:tab/>
      </w:r>
      <w:r>
        <w:rPr>
          <w:rFonts w:ascii="Arial" w:hAnsi="Arial" w:cs="Arial"/>
          <w:rtl w:val="true"/>
        </w:rPr>
        <w:t xml:space="preserve">נטען עוד שהתנאים להפעלת </w:t>
      </w:r>
      <w:hyperlink r:id="rId39">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cs="Arial" w:ascii="Arial" w:hAnsi="Arial"/>
            <w:color w:val="0000FF"/>
            <w:u w:val="single"/>
            <w:rtl w:val="true"/>
          </w:rPr>
          <w:t>(</w:t>
        </w:r>
        <w:r>
          <w:rPr>
            <w:rStyle w:val="Hyperlink"/>
            <w:rFonts w:ascii="Arial" w:hAnsi="Arial" w:cs="Arial"/>
            <w:color w:val="0000FF"/>
            <w:u w:val="single"/>
            <w:rtl w:val="true"/>
          </w:rPr>
          <w:t>ה</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לא מתקיימים וכי אין מדובר במקרה חריג מספיק ונטען שלא מספיק עבר פלילי מכביד בלבד כדי להפעיל את הסעיף</w:t>
      </w:r>
      <w:r>
        <w:rPr>
          <w:rFonts w:cs="Arial" w:ascii="Arial" w:hAnsi="Arial"/>
          <w:rtl w:val="true"/>
        </w:rPr>
        <w:t xml:space="preserve">. </w:t>
      </w:r>
      <w:r>
        <w:rPr>
          <w:rFonts w:ascii="Arial" w:hAnsi="Arial" w:cs="Arial"/>
          <w:rtl w:val="true"/>
        </w:rPr>
        <w:t>בנוגע לקנס נטען שהנאשם שוהה שנתיים במעצר ללא הכנסות</w:t>
      </w:r>
      <w:r>
        <w:rPr>
          <w:rFonts w:cs="Arial" w:ascii="Arial" w:hAnsi="Arial"/>
          <w:rtl w:val="true"/>
        </w:rPr>
        <w:t xml:space="preserve">, </w:t>
      </w:r>
      <w:r>
        <w:rPr>
          <w:rFonts w:ascii="Arial" w:hAnsi="Arial" w:cs="Arial"/>
          <w:rtl w:val="true"/>
        </w:rPr>
        <w:t>וכי הוא חסר אמצעים לשלם את הקנס</w:t>
      </w:r>
      <w:r>
        <w:rPr>
          <w:rFonts w:cs="Arial" w:ascii="Arial" w:hAnsi="Arial"/>
          <w:rtl w:val="true"/>
        </w:rPr>
        <w:t xml:space="preserve">. </w:t>
      </w:r>
    </w:p>
    <w:p>
      <w:pPr>
        <w:pStyle w:val="Normal"/>
        <w:spacing w:lineRule="auto" w:line="360"/>
        <w:ind w:start="720" w:end="0"/>
        <w:jc w:val="both"/>
        <w:rPr>
          <w:rFonts w:ascii="Arial" w:hAnsi="Arial" w:cs="Arial"/>
          <w:u w:val="single"/>
        </w:rPr>
      </w:pPr>
      <w:r>
        <w:rPr>
          <w:rFonts w:cs="Arial" w:ascii="Arial" w:hAnsi="Arial"/>
          <w:u w:val="single"/>
          <w:rtl w:val="true"/>
        </w:rPr>
      </w:r>
    </w:p>
    <w:p>
      <w:pPr>
        <w:pStyle w:val="Normal"/>
        <w:spacing w:lineRule="auto" w:line="360"/>
        <w:ind w:start="720" w:end="0"/>
        <w:jc w:val="both"/>
        <w:rPr>
          <w:rFonts w:ascii="Arial" w:hAnsi="Arial" w:cs="Arial"/>
          <w:u w:val="single"/>
        </w:rPr>
      </w:pPr>
      <w:r>
        <w:rPr>
          <w:rFonts w:ascii="Arial" w:hAnsi="Arial" w:cs="Arial"/>
          <w:u w:val="single"/>
          <w:rtl w:val="true"/>
        </w:rPr>
        <w:t>הסנגור אזכר פסיקה כדלקמן</w:t>
      </w:r>
      <w:r>
        <w:rPr>
          <w:rFonts w:cs="Arial" w:ascii="Arial" w:hAnsi="Arial"/>
          <w:u w:val="single"/>
          <w:rtl w:val="true"/>
        </w:rPr>
        <w:t xml:space="preserve">- </w:t>
      </w:r>
    </w:p>
    <w:p>
      <w:pPr>
        <w:pStyle w:val="Normal"/>
        <w:spacing w:lineRule="auto" w:line="360"/>
        <w:ind w:start="720" w:end="0"/>
        <w:jc w:val="both"/>
        <w:rPr>
          <w:rFonts w:ascii="Arial" w:hAnsi="Arial" w:cs="Arial"/>
        </w:rPr>
      </w:pPr>
      <w:hyperlink r:id="rId4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12705-03-18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סבג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15.11.2018</w:t>
      </w:r>
      <w:r>
        <w:rPr>
          <w:rFonts w:cs="Arial" w:ascii="Arial" w:hAnsi="Arial"/>
          <w:rtl w:val="true"/>
        </w:rPr>
        <w:t xml:space="preserve">) </w:t>
      </w:r>
      <w:r>
        <w:rPr>
          <w:rFonts w:ascii="Arial" w:hAnsi="Arial" w:cs="Arial"/>
          <w:rtl w:val="true"/>
        </w:rPr>
        <w:t>שם בגין ביצוע עבירות של החזקת נשק שלא כדין</w:t>
      </w:r>
      <w:r>
        <w:rPr>
          <w:rFonts w:cs="Arial" w:ascii="Arial" w:hAnsi="Arial"/>
          <w:rtl w:val="true"/>
        </w:rPr>
        <w:t xml:space="preserve">, </w:t>
      </w:r>
      <w:r>
        <w:rPr>
          <w:rFonts w:ascii="Arial" w:hAnsi="Arial" w:cs="Arial"/>
          <w:rtl w:val="true"/>
        </w:rPr>
        <w:t>סחר בנשק</w:t>
      </w:r>
      <w:r>
        <w:rPr>
          <w:rFonts w:cs="Arial" w:ascii="Arial" w:hAnsi="Arial"/>
          <w:rtl w:val="true"/>
        </w:rPr>
        <w:t xml:space="preserve">, </w:t>
      </w:r>
      <w:r>
        <w:rPr>
          <w:rFonts w:ascii="Arial" w:hAnsi="Arial" w:cs="Arial"/>
          <w:rtl w:val="true"/>
        </w:rPr>
        <w:t xml:space="preserve">וסחר בסם מסוכן הוטל על הנאשם עונש מאסר של </w:t>
      </w:r>
      <w:r>
        <w:rPr>
          <w:rFonts w:cs="Arial" w:ascii="Arial" w:hAnsi="Arial"/>
        </w:rPr>
        <w:t>12</w:t>
      </w:r>
      <w:r>
        <w:rPr>
          <w:rFonts w:cs="Arial" w:ascii="Arial" w:hAnsi="Arial"/>
          <w:rtl w:val="true"/>
        </w:rPr>
        <w:t xml:space="preserve"> </w:t>
      </w:r>
      <w:r>
        <w:rPr>
          <w:rFonts w:ascii="Arial" w:hAnsi="Arial" w:cs="Arial"/>
          <w:rtl w:val="true"/>
        </w:rPr>
        <w:t>חודשים ויום</w:t>
      </w:r>
      <w:r>
        <w:rPr>
          <w:rFonts w:cs="Arial" w:ascii="Arial" w:hAnsi="Arial"/>
          <w:rtl w:val="true"/>
        </w:rPr>
        <w:t xml:space="preserve">. </w:t>
      </w:r>
      <w:r>
        <w:rPr>
          <w:rFonts w:ascii="Arial" w:hAnsi="Arial" w:cs="Arial"/>
          <w:rtl w:val="true"/>
        </w:rPr>
        <w:t>על פי כתב האישום עולה שמדובר בסחר בחמישה עטי אקדח ו</w:t>
      </w:r>
      <w:r>
        <w:rPr>
          <w:rFonts w:cs="Arial" w:ascii="Arial" w:hAnsi="Arial"/>
          <w:rtl w:val="true"/>
        </w:rPr>
        <w:t>-</w:t>
      </w:r>
      <w:r>
        <w:rPr>
          <w:rFonts w:cs="Arial" w:ascii="Arial" w:hAnsi="Arial"/>
        </w:rPr>
        <w:t>300</w:t>
      </w:r>
      <w:r>
        <w:rPr>
          <w:rFonts w:cs="Arial" w:ascii="Arial" w:hAnsi="Arial"/>
          <w:rtl w:val="true"/>
        </w:rPr>
        <w:t xml:space="preserve"> </w:t>
      </w:r>
      <w:r>
        <w:rPr>
          <w:rFonts w:ascii="Arial" w:hAnsi="Arial" w:cs="Arial"/>
          <w:rtl w:val="true"/>
        </w:rPr>
        <w:t>גרם קנאביס</w:t>
      </w:r>
      <w:r>
        <w:rPr>
          <w:rFonts w:cs="Arial" w:ascii="Arial" w:hAnsi="Arial"/>
          <w:rtl w:val="true"/>
        </w:rPr>
        <w:t xml:space="preserve">. </w:t>
      </w:r>
      <w:r>
        <w:rPr>
          <w:rFonts w:ascii="Arial" w:hAnsi="Arial" w:cs="Arial"/>
          <w:rtl w:val="true"/>
        </w:rPr>
        <w:t>יוער עוד שמדובר בהסדר סגור שהוצג לאישור בית משפט</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hyperlink r:id="rId4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13236-03-18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דהן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15.1.2019</w:t>
      </w:r>
      <w:r>
        <w:rPr>
          <w:rFonts w:cs="Arial" w:ascii="Arial" w:hAnsi="Arial"/>
          <w:rtl w:val="true"/>
        </w:rPr>
        <w:t xml:space="preserve">) </w:t>
      </w:r>
      <w:r>
        <w:rPr>
          <w:rFonts w:ascii="Arial" w:hAnsi="Arial" w:cs="Arial"/>
          <w:rtl w:val="true"/>
        </w:rPr>
        <w:t>הורשע הנאשם על פי הודאתו בעבירות של סחר בסם מסוכן</w:t>
      </w:r>
      <w:r>
        <w:rPr>
          <w:rFonts w:cs="Arial" w:ascii="Arial" w:hAnsi="Arial"/>
          <w:rtl w:val="true"/>
        </w:rPr>
        <w:t xml:space="preserve">, </w:t>
      </w:r>
      <w:r>
        <w:rPr>
          <w:rFonts w:ascii="Arial" w:hAnsi="Arial" w:cs="Arial"/>
          <w:rtl w:val="true"/>
        </w:rPr>
        <w:t>ועבירות נשק</w:t>
      </w:r>
      <w:r>
        <w:rPr>
          <w:rFonts w:cs="Arial" w:ascii="Arial" w:hAnsi="Arial"/>
          <w:rtl w:val="true"/>
        </w:rPr>
        <w:t xml:space="preserve">, </w:t>
      </w:r>
      <w:r>
        <w:rPr>
          <w:rFonts w:ascii="Arial" w:hAnsi="Arial" w:cs="Arial"/>
          <w:rtl w:val="true"/>
        </w:rPr>
        <w:t xml:space="preserve">כאשר הנאשם שם הורשע בסחר של סם מסוג קוקאין במשקל </w:t>
      </w:r>
      <w:r>
        <w:rPr>
          <w:rFonts w:cs="Arial" w:ascii="Arial" w:hAnsi="Arial"/>
        </w:rPr>
        <w:t>17</w:t>
      </w:r>
      <w:r>
        <w:rPr>
          <w:rFonts w:cs="Arial" w:ascii="Arial" w:hAnsi="Arial"/>
          <w:rtl w:val="true"/>
        </w:rPr>
        <w:t xml:space="preserve"> </w:t>
      </w:r>
      <w:r>
        <w:rPr>
          <w:rFonts w:ascii="Arial" w:hAnsi="Arial" w:cs="Arial"/>
          <w:rtl w:val="true"/>
        </w:rPr>
        <w:t>גרם ובהחזקת שני תתי מקלע מאולתרים ותחמושת ונידון 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כאשר נקבע מתחם שבין </w:t>
      </w:r>
      <w:r>
        <w:rPr>
          <w:rFonts w:cs="Arial" w:ascii="Arial" w:hAnsi="Arial"/>
        </w:rPr>
        <w:t>28-48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גם במקרה זה הוצג הסדר סגור שכלל רכיב ענישה</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hyperlink r:id="rId4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20044-03-18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מתן בודנה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31.10.2018</w:t>
      </w:r>
      <w:r>
        <w:rPr>
          <w:rFonts w:cs="Arial" w:ascii="Arial" w:hAnsi="Arial"/>
          <w:rtl w:val="true"/>
        </w:rPr>
        <w:t xml:space="preserve">) </w:t>
      </w:r>
      <w:r>
        <w:rPr>
          <w:rFonts w:ascii="Arial" w:hAnsi="Arial" w:cs="Arial"/>
          <w:rtl w:val="true"/>
        </w:rPr>
        <w:t>הורשעו הנאשמים על פי הודאתם</w:t>
      </w:r>
      <w:r>
        <w:rPr>
          <w:rFonts w:cs="Arial" w:ascii="Arial" w:hAnsi="Arial"/>
          <w:rtl w:val="true"/>
        </w:rPr>
        <w:t xml:space="preserve">, </w:t>
      </w:r>
      <w:r>
        <w:rPr>
          <w:rFonts w:ascii="Arial" w:hAnsi="Arial" w:cs="Arial"/>
          <w:rtl w:val="true"/>
        </w:rPr>
        <w:t xml:space="preserve">בעבירת סחר בנשק </w:t>
      </w:r>
      <w:r>
        <w:rPr>
          <w:rFonts w:cs="Arial" w:ascii="Arial" w:hAnsi="Arial"/>
          <w:rtl w:val="true"/>
        </w:rPr>
        <w:t>(</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הורשע בעבירת החזקת נשק</w:t>
      </w:r>
      <w:r>
        <w:rPr>
          <w:rFonts w:cs="Arial" w:ascii="Arial" w:hAnsi="Arial"/>
          <w:rtl w:val="true"/>
        </w:rPr>
        <w:t xml:space="preserve">). </w:t>
      </w:r>
      <w:r>
        <w:rPr>
          <w:rFonts w:ascii="Arial" w:hAnsi="Arial" w:cs="Arial"/>
          <w:rtl w:val="true"/>
        </w:rPr>
        <w:t>ההסדר כלל הסכמה לגבי העונש</w:t>
      </w:r>
      <w:r>
        <w:rPr>
          <w:rFonts w:cs="Arial" w:ascii="Arial" w:hAnsi="Arial"/>
          <w:rtl w:val="true"/>
        </w:rPr>
        <w:t xml:space="preserve">, </w:t>
      </w:r>
      <w:r>
        <w:rPr>
          <w:rFonts w:ascii="Arial" w:hAnsi="Arial" w:cs="Arial"/>
          <w:rtl w:val="true"/>
        </w:rPr>
        <w:t xml:space="preserve">והוטלו על נאשם </w:t>
      </w:r>
      <w:r>
        <w:rPr>
          <w:rFonts w:cs="Arial" w:ascii="Arial" w:hAnsi="Arial"/>
        </w:rPr>
        <w:t>1</w:t>
      </w:r>
      <w:r>
        <w:rPr>
          <w:rFonts w:cs="Arial" w:ascii="Arial" w:hAnsi="Arial"/>
          <w:rtl w:val="true"/>
        </w:rPr>
        <w:t xml:space="preserve"> </w:t>
      </w:r>
      <w:r>
        <w:rPr>
          <w:rFonts w:cs="Arial" w:ascii="Arial" w:hAnsi="Arial"/>
        </w:rPr>
        <w:t>27</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הסדר הטיעון אומץ על ידי בית המשפט</w:t>
      </w:r>
      <w:r>
        <w:rPr>
          <w:rFonts w:cs="Arial" w:ascii="Arial" w:hAnsi="Arial"/>
          <w:rtl w:val="true"/>
        </w:rPr>
        <w:t xml:space="preserve">. </w:t>
      </w:r>
      <w:r>
        <w:rPr>
          <w:rFonts w:ascii="Arial" w:hAnsi="Arial" w:cs="Arial"/>
          <w:rtl w:val="true"/>
        </w:rPr>
        <w:t xml:space="preserve">באותו מקרה הנאשמים הודו בשלב מוקדם של הדיון והובא בחשבון גם עברו הפלילי המכביד של הנאשם </w:t>
      </w:r>
      <w:r>
        <w:rPr>
          <w:rFonts w:cs="Arial" w:ascii="Arial" w:hAnsi="Arial"/>
        </w:rPr>
        <w:t>1</w:t>
      </w:r>
      <w:r>
        <w:rPr>
          <w:rFonts w:cs="Arial" w:ascii="Arial" w:hAnsi="Arial"/>
          <w:rtl w:val="true"/>
        </w:rPr>
        <w:t xml:space="preserve"> (</w:t>
      </w:r>
      <w:r>
        <w:rPr>
          <w:rFonts w:ascii="Arial" w:hAnsi="Arial" w:cs="Arial"/>
          <w:rtl w:val="true"/>
        </w:rPr>
        <w:t>שלא כלל עבירות נשק</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b/>
          <w:bCs/>
          <w:u w:val="single"/>
        </w:rPr>
      </w:pPr>
      <w:r>
        <w:rPr>
          <w:rFonts w:cs="Arial" w:ascii="Arial" w:hAnsi="Arial"/>
          <w:b/>
          <w:bCs/>
          <w:u w:val="single"/>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דברי הנאשם</w:t>
      </w:r>
    </w:p>
    <w:p>
      <w:pPr>
        <w:pStyle w:val="Normal"/>
        <w:spacing w:lineRule="auto" w:line="360"/>
        <w:ind w:hanging="720" w:start="720" w:end="0"/>
        <w:jc w:val="both"/>
        <w:rPr>
          <w:rFonts w:ascii="Arial" w:hAnsi="Arial" w:cs="Arial"/>
          <w:b/>
          <w:bCs/>
        </w:rPr>
      </w:pPr>
      <w:r>
        <w:rPr>
          <w:rFonts w:cs="Arial" w:ascii="Arial" w:hAnsi="Arial"/>
        </w:rPr>
        <w:t>25</w:t>
      </w:r>
      <w:r>
        <w:rPr>
          <w:rFonts w:cs="Arial" w:ascii="Arial" w:hAnsi="Arial"/>
          <w:rtl w:val="true"/>
        </w:rPr>
        <w:t>.</w:t>
        <w:tab/>
      </w:r>
      <w:r>
        <w:rPr>
          <w:rFonts w:ascii="Arial" w:hAnsi="Arial" w:cs="Arial"/>
          <w:rtl w:val="true"/>
        </w:rPr>
        <w:t>הנאשם עצמו טען שאין לו אמצעים כספיים ויש לו חמישה ילדים בבית</w:t>
      </w:r>
      <w:r>
        <w:rPr>
          <w:rFonts w:cs="Arial" w:ascii="Arial" w:hAnsi="Arial"/>
          <w:rtl w:val="true"/>
        </w:rPr>
        <w:t xml:space="preserve">, </w:t>
      </w:r>
      <w:r>
        <w:rPr>
          <w:rFonts w:ascii="Arial" w:hAnsi="Arial" w:cs="Arial"/>
          <w:rtl w:val="true"/>
        </w:rPr>
        <w:t>וביקש שיתחשבו בו בנושא הקנס והמשיך וטען</w:t>
      </w:r>
      <w:r>
        <w:rPr>
          <w:rFonts w:ascii="Arial" w:hAnsi="Arial" w:cs="Arial"/>
          <w:b/>
          <w:b/>
          <w:bCs/>
          <w:rtl w:val="true"/>
        </w:rPr>
        <w:t xml:space="preserve"> </w:t>
      </w:r>
      <w:r>
        <w:rPr>
          <w:rFonts w:cs="Arial" w:ascii="Arial" w:hAnsi="Arial"/>
          <w:b/>
          <w:bCs/>
          <w:rtl w:val="true"/>
        </w:rPr>
        <w:t>"</w:t>
      </w:r>
      <w:r>
        <w:rPr>
          <w:rFonts w:ascii="Arial" w:hAnsi="Arial" w:cs="Arial"/>
          <w:b/>
          <w:b/>
          <w:bCs/>
          <w:rtl w:val="true"/>
        </w:rPr>
        <w:t>אני מבקש להתחשב בי כי אני רק יצאתי מבית הסוהר ולא רציתי לחזור לזה עד שהוא בא אליי</w:t>
      </w:r>
      <w:r>
        <w:rPr>
          <w:rFonts w:cs="Arial" w:ascii="Arial" w:hAnsi="Arial"/>
          <w:b/>
          <w:bCs/>
          <w:rtl w:val="true"/>
        </w:rPr>
        <w:t>".</w:t>
      </w:r>
    </w:p>
    <w:p>
      <w:pPr>
        <w:pStyle w:val="Normal"/>
        <w:spacing w:lineRule="auto" w:line="360"/>
        <w:ind w:start="720" w:end="0"/>
        <w:jc w:val="both"/>
        <w:rPr>
          <w:rFonts w:ascii="Arial" w:hAnsi="Arial" w:cs="Arial"/>
          <w:b/>
          <w:bCs/>
        </w:rPr>
      </w:pPr>
      <w:r>
        <w:rPr>
          <w:rFonts w:cs="Arial" w:ascii="Arial" w:hAnsi="Arial"/>
          <w:b/>
          <w:bCs/>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השלמת טיעון</w:t>
      </w:r>
    </w:p>
    <w:p>
      <w:pPr>
        <w:pStyle w:val="Normal"/>
        <w:spacing w:lineRule="auto" w:line="360"/>
        <w:ind w:hanging="720" w:start="720" w:end="0"/>
        <w:jc w:val="both"/>
        <w:rPr>
          <w:rFonts w:ascii="Arial" w:hAnsi="Arial" w:cs="Arial"/>
        </w:rPr>
      </w:pPr>
      <w:r>
        <w:rPr>
          <w:rFonts w:cs="Arial" w:ascii="Arial" w:hAnsi="Arial"/>
        </w:rPr>
        <w:t>26</w:t>
      </w:r>
      <w:r>
        <w:rPr>
          <w:rFonts w:cs="Arial" w:ascii="Arial" w:hAnsi="Arial"/>
          <w:rtl w:val="true"/>
        </w:rPr>
        <w:t>.</w:t>
        <w:tab/>
      </w:r>
      <w:r>
        <w:rPr>
          <w:rFonts w:ascii="Arial" w:hAnsi="Arial" w:cs="Arial"/>
          <w:rtl w:val="true"/>
        </w:rPr>
        <w:t>בהתאם להחלטה הגישה המדינה טיעון משלים כמענה לטענות האפליה שנטענו על ידי הסנגור</w:t>
      </w:r>
      <w:r>
        <w:rPr>
          <w:rFonts w:cs="Arial" w:ascii="Arial" w:hAnsi="Arial"/>
          <w:rtl w:val="true"/>
        </w:rPr>
        <w:t xml:space="preserve">. </w:t>
      </w:r>
      <w:r>
        <w:rPr>
          <w:rFonts w:ascii="Arial" w:hAnsi="Arial" w:cs="Arial"/>
          <w:rtl w:val="true"/>
        </w:rPr>
        <w:t>ביחס לתיק בודנה נטען שהסדר הטיעון שנערך היה חריג לקולא שנבע מנסיבות המיוחדות של התיק וקשיים שעלו בהקשר של חומר הראיות שנאסף</w:t>
      </w:r>
      <w:r>
        <w:rPr>
          <w:rFonts w:cs="Arial" w:ascii="Arial" w:hAnsi="Arial"/>
          <w:rtl w:val="true"/>
        </w:rPr>
        <w:t xml:space="preserve">. </w:t>
      </w:r>
      <w:r>
        <w:rPr>
          <w:rFonts w:ascii="Arial" w:hAnsi="Arial" w:cs="Arial"/>
          <w:rtl w:val="true"/>
        </w:rPr>
        <w:t>נטען שאותם קשיים אינם קיימים בעניינו של הנאשם</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27</w:t>
      </w:r>
      <w:r>
        <w:rPr>
          <w:rFonts w:cs="Arial" w:ascii="Arial" w:hAnsi="Arial"/>
          <w:rtl w:val="true"/>
        </w:rPr>
        <w:t>.</w:t>
        <w:tab/>
      </w:r>
      <w:r>
        <w:rPr>
          <w:rFonts w:ascii="Arial" w:hAnsi="Arial" w:cs="Arial"/>
          <w:rtl w:val="true"/>
        </w:rPr>
        <w:t>שנית נטען שההסדר נכרת טרם נשמעו ראיות ושלישית נטען שקיים הבדל משמעותי בין העבר הפלילי של בודנה לבין העבר הפלילי של הנאשם כאשר לנאשמים בתיק האחר אין עבירות בנשק</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בנוגע לתיק </w:t>
      </w:r>
      <w:r>
        <w:rPr>
          <w:rFonts w:cs="Arial" w:ascii="Arial" w:hAnsi="Arial"/>
        </w:rPr>
        <w:t>12705-03-18</w:t>
      </w:r>
      <w:r>
        <w:rPr>
          <w:rFonts w:cs="Arial" w:ascii="Arial" w:hAnsi="Arial"/>
          <w:rtl w:val="true"/>
        </w:rPr>
        <w:t xml:space="preserve"> </w:t>
      </w:r>
      <w:r>
        <w:rPr>
          <w:rFonts w:ascii="Arial" w:hAnsi="Arial" w:cs="Arial"/>
          <w:rtl w:val="true"/>
        </w:rPr>
        <w:t>נטען שמדובר בנשק מסוג אחר</w:t>
      </w:r>
      <w:r>
        <w:rPr>
          <w:rFonts w:cs="Arial" w:ascii="Arial" w:hAnsi="Arial"/>
          <w:rtl w:val="true"/>
        </w:rPr>
        <w:t xml:space="preserve">, </w:t>
      </w:r>
      <w:r>
        <w:rPr>
          <w:rFonts w:ascii="Arial" w:hAnsi="Arial" w:cs="Arial"/>
          <w:rtl w:val="true"/>
        </w:rPr>
        <w:t>פחות חמור</w:t>
      </w:r>
      <w:r>
        <w:rPr>
          <w:rFonts w:cs="Arial" w:ascii="Arial" w:hAnsi="Arial"/>
          <w:rtl w:val="true"/>
        </w:rPr>
        <w:t xml:space="preserve">, </w:t>
      </w:r>
      <w:r>
        <w:rPr>
          <w:rFonts w:ascii="Arial" w:hAnsi="Arial" w:cs="Arial"/>
          <w:rtl w:val="true"/>
        </w:rPr>
        <w:t>עטי אקדח</w:t>
      </w:r>
      <w:r>
        <w:rPr>
          <w:rFonts w:cs="Arial" w:ascii="Arial" w:hAnsi="Arial"/>
          <w:rtl w:val="true"/>
        </w:rPr>
        <w:t xml:space="preserve">. </w:t>
      </w:r>
      <w:r>
        <w:rPr>
          <w:rFonts w:ascii="Arial" w:hAnsi="Arial" w:cs="Arial"/>
          <w:rtl w:val="true"/>
        </w:rPr>
        <w:t>כמו כן הנאשם שם הודה בתחילת ההליך</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בנוגע לתיק </w:t>
      </w:r>
      <w:hyperlink r:id="rId43">
        <w:r>
          <w:rPr>
            <w:rStyle w:val="Hyperlink"/>
            <w:rFonts w:cs="Arial" w:ascii="Arial" w:hAnsi="Arial"/>
            <w:color w:val="0000FF"/>
          </w:rPr>
          <w:t>13236-03-18</w:t>
        </w:r>
      </w:hyperlink>
      <w:r>
        <w:rPr>
          <w:rFonts w:cs="Arial" w:ascii="Arial" w:hAnsi="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w:hAnsi="Arial" w:cs="Arial"/>
          <w:rtl w:val="true"/>
        </w:rPr>
        <w:t>אחד הנאשמים הורשע בעבירת החזקת נשק בלבד להבדיל מעבירת סחר בנשק וכן בעבירת סחר בקוקאין</w:t>
      </w:r>
      <w:r>
        <w:rPr>
          <w:rFonts w:cs="Arial" w:ascii="Arial" w:hAnsi="Arial"/>
          <w:rtl w:val="true"/>
        </w:rPr>
        <w:t xml:space="preserve">. </w:t>
      </w:r>
      <w:r>
        <w:rPr>
          <w:rFonts w:ascii="Arial" w:hAnsi="Arial" w:cs="Arial"/>
          <w:rtl w:val="true"/>
        </w:rPr>
        <w:t>נטען שהלכה למעשה העבירות הנ</w:t>
      </w:r>
      <w:r>
        <w:rPr>
          <w:rFonts w:cs="Arial" w:ascii="Arial" w:hAnsi="Arial"/>
          <w:rtl w:val="true"/>
        </w:rPr>
        <w:t>"</w:t>
      </w:r>
      <w:r>
        <w:rPr>
          <w:rFonts w:ascii="Arial" w:hAnsi="Arial" w:cs="Arial"/>
          <w:rtl w:val="true"/>
        </w:rPr>
        <w:t>ל הינן בסמכות של ביהמ</w:t>
      </w:r>
      <w:r>
        <w:rPr>
          <w:rFonts w:cs="Arial" w:ascii="Arial" w:hAnsi="Arial"/>
          <w:rtl w:val="true"/>
        </w:rPr>
        <w:t>"</w:t>
      </w:r>
      <w:r>
        <w:rPr>
          <w:rFonts w:ascii="Arial" w:hAnsi="Arial" w:cs="Arial"/>
          <w:rtl w:val="true"/>
        </w:rPr>
        <w:t>ש שלום והוא הובא לביהמ</w:t>
      </w:r>
      <w:r>
        <w:rPr>
          <w:rFonts w:cs="Arial" w:ascii="Arial" w:hAnsi="Arial"/>
          <w:rtl w:val="true"/>
        </w:rPr>
        <w:t>"</w:t>
      </w:r>
      <w:r>
        <w:rPr>
          <w:rFonts w:ascii="Arial" w:hAnsi="Arial" w:cs="Arial"/>
          <w:rtl w:val="true"/>
        </w:rPr>
        <w:t>ש המחוזי מאחר והיה קשור לנאשמים האחרים</w:t>
      </w:r>
      <w:r>
        <w:rPr>
          <w:rFonts w:cs="Arial" w:ascii="Arial" w:hAnsi="Arial"/>
          <w:rtl w:val="true"/>
        </w:rPr>
        <w:t xml:space="preserve">. </w:t>
      </w:r>
      <w:r>
        <w:rPr>
          <w:rFonts w:ascii="Arial" w:hAnsi="Arial" w:cs="Arial"/>
          <w:rtl w:val="true"/>
        </w:rPr>
        <w:t xml:space="preserve">הוסכם שאכן לנאשם היה עבר פלילי מכביד ולכן הוטל עליו עונש משמעותי של </w:t>
      </w:r>
      <w:r>
        <w:rPr>
          <w:rFonts w:cs="Arial" w:ascii="Arial" w:hAnsi="Arial"/>
        </w:rPr>
        <w:t>36</w:t>
      </w:r>
      <w:r>
        <w:rPr>
          <w:rFonts w:cs="Arial" w:ascii="Arial" w:hAnsi="Arial"/>
          <w:rtl w:val="true"/>
        </w:rPr>
        <w:t xml:space="preserve"> </w:t>
      </w:r>
      <w:r>
        <w:rPr>
          <w:rFonts w:ascii="Arial" w:hAnsi="Arial" w:cs="Arial"/>
          <w:rtl w:val="true"/>
        </w:rPr>
        <w:t>חודשים אך נטען שעברו כלל עבירה אחת בלבד של החזקת נשק</w:t>
      </w:r>
      <w:r>
        <w:rPr>
          <w:rFonts w:cs="Arial" w:ascii="Arial" w:hAnsi="Arial"/>
          <w:rtl w:val="true"/>
        </w:rPr>
        <w:t xml:space="preserve">. </w:t>
      </w:r>
      <w:r>
        <w:rPr>
          <w:rFonts w:ascii="Arial" w:hAnsi="Arial" w:cs="Arial"/>
          <w:rtl w:val="true"/>
        </w:rPr>
        <w:t>כמו כן נטען שגם הסדר זה הוצג טרם תחילת ההוכחות</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כך טענה המדינה שאין זו אפליה בין הנאשמים</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28</w:t>
      </w:r>
      <w:r>
        <w:rPr>
          <w:rFonts w:cs="Arial" w:ascii="Arial" w:hAnsi="Arial"/>
          <w:rtl w:val="true"/>
        </w:rPr>
        <w:t>.</w:t>
        <w:tab/>
      </w:r>
      <w:r>
        <w:rPr>
          <w:rFonts w:ascii="Arial" w:hAnsi="Arial" w:cs="Arial"/>
          <w:rtl w:val="true"/>
        </w:rPr>
        <w:t>הסניגור הגיש גם הוא השלמת טיעון בו טען להפליית הנאשם והפרת עקרון אחידות הענישה לעומת המקרים האחרים שנידונו במסגרת המבצע הנוכחי ובעיקר מקרה בוהדנה ומקרה סבג</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דיון </w:t>
      </w:r>
    </w:p>
    <w:p>
      <w:pPr>
        <w:pStyle w:val="Normal"/>
        <w:spacing w:lineRule="auto" w:line="360"/>
        <w:ind w:start="720"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rPr>
      </w:pPr>
      <w:r>
        <w:rPr>
          <w:rFonts w:cs="Arial" w:ascii="Arial" w:hAnsi="Arial"/>
        </w:rPr>
        <w:t>29</w:t>
      </w:r>
      <w:r>
        <w:rPr>
          <w:rFonts w:cs="Arial" w:ascii="Arial" w:hAnsi="Arial"/>
          <w:rtl w:val="true"/>
        </w:rPr>
        <w:t>.</w:t>
        <w:tab/>
      </w:r>
      <w:r>
        <w:rPr>
          <w:rFonts w:ascii="Arial" w:hAnsi="Arial" w:cs="Arial"/>
          <w:rtl w:val="true"/>
        </w:rPr>
        <w:t xml:space="preserve">הנאשם יליד </w:t>
      </w:r>
      <w:r>
        <w:rPr>
          <w:rFonts w:cs="Arial" w:ascii="Arial" w:hAnsi="Arial"/>
        </w:rPr>
        <w:t>1974</w:t>
      </w:r>
      <w:r>
        <w:rPr>
          <w:rFonts w:cs="Arial" w:ascii="Arial" w:hAnsi="Arial"/>
          <w:rtl w:val="true"/>
        </w:rPr>
        <w:t xml:space="preserve"> </w:t>
      </w:r>
      <w:r>
        <w:rPr>
          <w:rFonts w:ascii="Arial" w:hAnsi="Arial" w:cs="Arial"/>
          <w:rtl w:val="true"/>
        </w:rPr>
        <w:t xml:space="preserve">ובן </w:t>
      </w:r>
      <w:r>
        <w:rPr>
          <w:rFonts w:cs="Arial" w:ascii="Arial" w:hAnsi="Arial"/>
        </w:rPr>
        <w:t>45</w:t>
      </w:r>
      <w:r>
        <w:rPr>
          <w:rFonts w:cs="Arial" w:ascii="Arial" w:hAnsi="Arial"/>
          <w:rtl w:val="true"/>
        </w:rPr>
        <w:t xml:space="preserve">. </w:t>
      </w:r>
      <w:r>
        <w:rPr>
          <w:rFonts w:ascii="Arial" w:hAnsi="Arial" w:cs="Arial"/>
          <w:rtl w:val="true"/>
        </w:rPr>
        <w:t xml:space="preserve">הוא עצור בתיק זה מאז יום </w:t>
      </w:r>
      <w:r>
        <w:rPr>
          <w:rFonts w:cs="Arial" w:ascii="Arial" w:hAnsi="Arial"/>
        </w:rPr>
        <w:t>26.2.18</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30</w:t>
      </w:r>
      <w:r>
        <w:rPr>
          <w:rFonts w:cs="Arial" w:ascii="Arial" w:hAnsi="Arial"/>
          <w:rtl w:val="true"/>
        </w:rPr>
        <w:t>.</w:t>
        <w:tab/>
      </w:r>
      <w:r>
        <w:rPr>
          <w:rFonts w:ascii="Arial" w:hAnsi="Arial" w:cs="Arial"/>
          <w:rtl w:val="true"/>
        </w:rPr>
        <w:t xml:space="preserve">הערכים החברתיים שנפגעו הם </w:t>
      </w:r>
      <w:r>
        <w:rPr>
          <w:rFonts w:ascii="Arial" w:hAnsi="Arial" w:cs="Arial"/>
          <w:rtl w:val="true"/>
        </w:rPr>
        <w:t>–</w:t>
      </w:r>
      <w:r>
        <w:rPr>
          <w:rFonts w:ascii="Arial" w:hAnsi="Arial" w:cs="Arial"/>
          <w:rtl w:val="true"/>
        </w:rPr>
        <w:t xml:space="preserve"> שמירה על החיים</w:t>
      </w:r>
      <w:r>
        <w:rPr>
          <w:rFonts w:cs="Arial" w:ascii="Arial" w:hAnsi="Arial"/>
          <w:rtl w:val="true"/>
        </w:rPr>
        <w:t xml:space="preserve">, </w:t>
      </w:r>
      <w:r>
        <w:rPr>
          <w:rFonts w:ascii="Arial" w:hAnsi="Arial" w:cs="Arial"/>
          <w:rtl w:val="true"/>
        </w:rPr>
        <w:t>בטחון הציבור ושלומו</w:t>
      </w:r>
      <w:r>
        <w:rPr>
          <w:rFonts w:cs="Arial" w:ascii="Arial" w:hAnsi="Arial"/>
          <w:rtl w:val="true"/>
        </w:rPr>
        <w:t xml:space="preserve">. </w:t>
      </w:r>
      <w:r>
        <w:rPr>
          <w:rFonts w:ascii="Arial" w:hAnsi="Arial" w:cs="Arial"/>
          <w:rtl w:val="true"/>
        </w:rPr>
        <w:t>כיוון שמדובר בעבירות של סחר בנשק</w:t>
      </w:r>
      <w:r>
        <w:rPr>
          <w:rFonts w:cs="Arial" w:ascii="Arial" w:hAnsi="Arial"/>
          <w:rtl w:val="true"/>
        </w:rPr>
        <w:t xml:space="preserve">, </w:t>
      </w:r>
      <w:r>
        <w:rPr>
          <w:rFonts w:ascii="Arial" w:hAnsi="Arial" w:cs="Arial"/>
          <w:rtl w:val="true"/>
        </w:rPr>
        <w:t>ועבירות של החזקה ונשיאה מדובר בפגיעה יחסית חמורה בערכים המוגנים</w:t>
      </w:r>
      <w:r>
        <w:rPr>
          <w:rFonts w:cs="Arial" w:ascii="Arial" w:hAnsi="Arial"/>
          <w:rtl w:val="true"/>
        </w:rPr>
        <w:t xml:space="preserve">. </w:t>
      </w:r>
      <w:r>
        <w:rPr>
          <w:rFonts w:ascii="Arial" w:hAnsi="Arial" w:cs="Arial"/>
          <w:rtl w:val="true"/>
        </w:rPr>
        <w:t>לעניין העבירות האחרות נפגעו הערכים של שמירה על הסדר הציבורי ובטיחות בדרכים</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31</w:t>
      </w:r>
      <w:r>
        <w:rPr>
          <w:rFonts w:cs="Arial" w:ascii="Arial" w:hAnsi="Arial"/>
          <w:rtl w:val="true"/>
        </w:rPr>
        <w:t>.</w:t>
        <w:tab/>
      </w:r>
      <w:r>
        <w:rPr>
          <w:rFonts w:ascii="Arial" w:hAnsi="Arial" w:cs="Arial"/>
          <w:rtl w:val="true"/>
        </w:rPr>
        <w:t>באשר לנסיבות ביצוע עבירות הנשק</w:t>
      </w:r>
      <w:r>
        <w:rPr>
          <w:rFonts w:cs="Arial" w:ascii="Arial" w:hAnsi="Arial"/>
          <w:rtl w:val="true"/>
        </w:rPr>
        <w:t xml:space="preserve">, </w:t>
      </w:r>
      <w:r>
        <w:rPr>
          <w:rFonts w:ascii="Arial" w:hAnsi="Arial" w:cs="Arial"/>
          <w:rtl w:val="true"/>
        </w:rPr>
        <w:t xml:space="preserve">התקיים תכנון מוקדם </w:t>
      </w:r>
      <w:r>
        <w:rPr>
          <w:rFonts w:ascii="Arial" w:hAnsi="Arial" w:cs="Arial"/>
          <w:rtl w:val="true"/>
        </w:rPr>
        <w:t>–</w:t>
      </w:r>
      <w:r>
        <w:rPr>
          <w:rFonts w:ascii="Arial" w:hAnsi="Arial" w:cs="Arial"/>
          <w:rtl w:val="true"/>
        </w:rPr>
        <w:t xml:space="preserve"> קיום הקשר עם הסוכן</w:t>
      </w:r>
      <w:r>
        <w:rPr>
          <w:rFonts w:cs="Arial" w:ascii="Arial" w:hAnsi="Arial"/>
          <w:rtl w:val="true"/>
        </w:rPr>
        <w:t xml:space="preserve">, </w:t>
      </w:r>
      <w:r>
        <w:rPr>
          <w:rFonts w:ascii="Arial" w:hAnsi="Arial" w:cs="Arial"/>
          <w:rtl w:val="true"/>
        </w:rPr>
        <w:t>הנעת העסקה והתיאומים סביב לה</w:t>
      </w:r>
      <w:r>
        <w:rPr>
          <w:rFonts w:cs="Arial" w:ascii="Arial" w:hAnsi="Arial"/>
          <w:rtl w:val="true"/>
        </w:rPr>
        <w:t xml:space="preserve">, </w:t>
      </w:r>
      <w:r>
        <w:rPr>
          <w:rFonts w:ascii="Arial" w:hAnsi="Arial" w:cs="Arial"/>
          <w:rtl w:val="true"/>
        </w:rPr>
        <w:t>שמירת האמל</w:t>
      </w:r>
      <w:r>
        <w:rPr>
          <w:rFonts w:cs="Arial" w:ascii="Arial" w:hAnsi="Arial"/>
          <w:rtl w:val="true"/>
        </w:rPr>
        <w:t>"</w:t>
      </w:r>
      <w:r>
        <w:rPr>
          <w:rFonts w:ascii="Arial" w:hAnsi="Arial" w:cs="Arial"/>
          <w:rtl w:val="true"/>
        </w:rPr>
        <w:t>ח בביתו טרם העסקה</w:t>
      </w:r>
      <w:r>
        <w:rPr>
          <w:rFonts w:cs="Arial" w:ascii="Arial" w:hAnsi="Arial"/>
          <w:rtl w:val="true"/>
        </w:rPr>
        <w:t xml:space="preserve">, </w:t>
      </w:r>
      <w:r>
        <w:rPr>
          <w:rFonts w:ascii="Arial" w:hAnsi="Arial" w:cs="Arial"/>
          <w:rtl w:val="true"/>
        </w:rPr>
        <w:t>ההצעות לגבי אמל</w:t>
      </w:r>
      <w:r>
        <w:rPr>
          <w:rFonts w:cs="Arial" w:ascii="Arial" w:hAnsi="Arial"/>
          <w:rtl w:val="true"/>
        </w:rPr>
        <w:t>"</w:t>
      </w:r>
      <w:r>
        <w:rPr>
          <w:rFonts w:ascii="Arial" w:hAnsi="Arial" w:cs="Arial"/>
          <w:rtl w:val="true"/>
        </w:rPr>
        <w:t>ח נוסף</w:t>
      </w:r>
      <w:r>
        <w:rPr>
          <w:rFonts w:cs="Arial" w:ascii="Arial" w:hAnsi="Arial"/>
          <w:rtl w:val="true"/>
        </w:rPr>
        <w:t xml:space="preserve">. </w:t>
      </w:r>
      <w:r>
        <w:rPr>
          <w:rFonts w:ascii="Arial" w:hAnsi="Arial" w:cs="Arial"/>
          <w:rtl w:val="true"/>
        </w:rPr>
        <w:t>לנאשם היה חלק דומיננטי עד בלעדי בביצוע העבירות שבא לידי ביטוי בין היתר בייזום הקשר על פי כתב האישום</w:t>
      </w:r>
      <w:r>
        <w:rPr>
          <w:rFonts w:cs="Arial" w:ascii="Arial" w:hAnsi="Arial"/>
          <w:rtl w:val="true"/>
        </w:rPr>
        <w:t xml:space="preserve">. </w:t>
      </w:r>
      <w:r>
        <w:rPr>
          <w:rFonts w:ascii="Arial" w:hAnsi="Arial" w:cs="Arial"/>
          <w:rtl w:val="true"/>
        </w:rPr>
        <w:t>הנאשם יכול היה להפסיק את ביצוע העבירות בכל שלב</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נסיבה לחומרה הינה העובדה כי מדובר בתת מקלע שהינו נשק תקני</w:t>
      </w:r>
      <w:r>
        <w:rPr>
          <w:rFonts w:cs="Arial" w:ascii="Arial" w:hAnsi="Arial"/>
          <w:rtl w:val="true"/>
        </w:rPr>
        <w:t xml:space="preserve">. </w:t>
      </w:r>
      <w:r>
        <w:rPr>
          <w:rFonts w:ascii="Arial" w:hAnsi="Arial" w:cs="Arial"/>
          <w:rtl w:val="true"/>
        </w:rPr>
        <w:t>הנאשם היה חייב להבין את הפסול במעשיו בייחוד לאור עברו</w:t>
      </w:r>
      <w:r>
        <w:rPr>
          <w:rFonts w:cs="Arial" w:ascii="Arial" w:hAnsi="Arial"/>
          <w:rtl w:val="true"/>
        </w:rPr>
        <w:t xml:space="preserve">. </w:t>
      </w:r>
      <w:r>
        <w:rPr>
          <w:rFonts w:ascii="Arial" w:hAnsi="Arial" w:cs="Arial"/>
          <w:rtl w:val="true"/>
        </w:rPr>
        <w:t>הסיבות שהביאו את הנאשם לבצע את העבירה היו בצע וכסף והנאשם הינו רצידיוויסט סדרתי בעניין סחר בלתי חוקי בנשק</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32</w:t>
      </w:r>
      <w:r>
        <w:rPr>
          <w:rFonts w:cs="Arial" w:ascii="Arial" w:hAnsi="Arial"/>
          <w:rtl w:val="true"/>
        </w:rPr>
        <w:t>.</w:t>
        <w:tab/>
      </w:r>
      <w:r>
        <w:rPr>
          <w:rFonts w:ascii="Arial" w:hAnsi="Arial" w:cs="Arial"/>
          <w:rtl w:val="true"/>
        </w:rPr>
        <w:t xml:space="preserve">מתחם העונש ההולם נע בין </w:t>
      </w:r>
      <w:r>
        <w:rPr>
          <w:rFonts w:cs="Arial" w:ascii="Arial" w:hAnsi="Arial"/>
        </w:rPr>
        <w:t>3-6</w:t>
      </w:r>
      <w:r>
        <w:rPr>
          <w:rFonts w:cs="Arial" w:ascii="Arial" w:hAnsi="Arial"/>
          <w:rtl w:val="true"/>
        </w:rPr>
        <w:t xml:space="preserve"> </w:t>
      </w:r>
      <w:r>
        <w:rPr>
          <w:rFonts w:ascii="Arial" w:hAnsi="Arial" w:cs="Arial"/>
          <w:rtl w:val="true"/>
        </w:rPr>
        <w:t>שנות מאסר בפועל בנסיבות</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באשר לנסיבות שהינן קשורות לגזירת העונש בתוך המתחם יצויין כי הנאשם אמנם נטל אחריות למעשיו ואולם הודאתו ניתנה לאחר סיום מרבית שלבי המשפט</w:t>
      </w:r>
      <w:r>
        <w:rPr>
          <w:rFonts w:cs="Arial" w:ascii="Arial" w:hAnsi="Arial"/>
          <w:rtl w:val="true"/>
        </w:rPr>
        <w:t xml:space="preserve">, </w:t>
      </w:r>
      <w:r>
        <w:rPr>
          <w:rFonts w:ascii="Arial" w:hAnsi="Arial" w:cs="Arial"/>
          <w:rtl w:val="true"/>
        </w:rPr>
        <w:t>בשלב מאוחר מאד</w:t>
      </w:r>
      <w:r>
        <w:rPr>
          <w:rFonts w:cs="Arial" w:ascii="Arial" w:hAnsi="Arial"/>
          <w:rtl w:val="true"/>
        </w:rPr>
        <w:t xml:space="preserve">. </w:t>
      </w:r>
      <w:r>
        <w:rPr>
          <w:rFonts w:ascii="Arial" w:hAnsi="Arial" w:cs="Arial"/>
          <w:rtl w:val="true"/>
        </w:rPr>
        <w:t>כאמור לעיל</w:t>
      </w:r>
      <w:r>
        <w:rPr>
          <w:rFonts w:cs="Arial" w:ascii="Arial" w:hAnsi="Arial"/>
          <w:rtl w:val="true"/>
        </w:rPr>
        <w:t xml:space="preserve">, </w:t>
      </w:r>
      <w:r>
        <w:rPr>
          <w:rFonts w:ascii="Arial" w:hAnsi="Arial" w:cs="Arial"/>
          <w:rtl w:val="true"/>
        </w:rPr>
        <w:t xml:space="preserve">הנאשם הינו רצידיוויסט סדרתי בכל הקשור לעבירות נשק ועבירות נוספות כאשר לחובתו </w:t>
      </w:r>
      <w:r>
        <w:rPr>
          <w:rFonts w:cs="Arial" w:ascii="Arial" w:hAnsi="Arial"/>
        </w:rPr>
        <w:t>9</w:t>
      </w:r>
      <w:r>
        <w:rPr>
          <w:rFonts w:cs="Arial" w:ascii="Arial" w:hAnsi="Arial"/>
          <w:rtl w:val="true"/>
        </w:rPr>
        <w:t xml:space="preserve"> </w:t>
      </w:r>
      <w:r>
        <w:rPr>
          <w:rFonts w:ascii="Arial" w:hAnsi="Arial" w:cs="Arial"/>
          <w:rtl w:val="true"/>
        </w:rPr>
        <w:t>הרשעות קודמות  בעבירות נשק</w:t>
      </w:r>
      <w:r>
        <w:rPr>
          <w:rFonts w:cs="Arial" w:ascii="Arial" w:hAnsi="Arial"/>
          <w:rtl w:val="true"/>
        </w:rPr>
        <w:t xml:space="preserve">, </w:t>
      </w:r>
      <w:r>
        <w:rPr>
          <w:rFonts w:ascii="Arial" w:hAnsi="Arial" w:cs="Arial"/>
          <w:rtl w:val="true"/>
        </w:rPr>
        <w:t>אלימות</w:t>
      </w:r>
      <w:r>
        <w:rPr>
          <w:rFonts w:cs="Arial" w:ascii="Arial" w:hAnsi="Arial"/>
          <w:rtl w:val="true"/>
        </w:rPr>
        <w:t xml:space="preserve">, </w:t>
      </w:r>
      <w:r>
        <w:rPr>
          <w:rFonts w:ascii="Arial" w:hAnsi="Arial" w:cs="Arial"/>
          <w:rtl w:val="true"/>
        </w:rPr>
        <w:t>סמים</w:t>
      </w:r>
      <w:r>
        <w:rPr>
          <w:rFonts w:cs="Arial" w:ascii="Arial" w:hAnsi="Arial"/>
          <w:rtl w:val="true"/>
        </w:rPr>
        <w:t xml:space="preserve">, </w:t>
      </w:r>
      <w:r>
        <w:rPr>
          <w:rFonts w:ascii="Arial" w:hAnsi="Arial" w:cs="Arial"/>
          <w:rtl w:val="true"/>
        </w:rPr>
        <w:t>קשר לפשע איומים ורכוש</w:t>
      </w:r>
      <w:r>
        <w:rPr>
          <w:rFonts w:cs="Arial" w:ascii="Arial" w:hAnsi="Arial"/>
          <w:rtl w:val="true"/>
        </w:rPr>
        <w:t xml:space="preserve">. </w:t>
      </w:r>
      <w:r>
        <w:rPr>
          <w:rFonts w:ascii="Arial" w:hAnsi="Arial" w:cs="Arial"/>
          <w:rtl w:val="true"/>
        </w:rPr>
        <w:t>הוא ריצה כבר מאסרים</w:t>
      </w:r>
      <w:r>
        <w:rPr>
          <w:rFonts w:cs="Arial" w:ascii="Arial" w:hAnsi="Arial"/>
          <w:rtl w:val="true"/>
        </w:rPr>
        <w:t xml:space="preserve">, </w:t>
      </w:r>
      <w:r>
        <w:rPr>
          <w:rFonts w:ascii="Arial" w:hAnsi="Arial" w:cs="Arial"/>
          <w:rtl w:val="true"/>
        </w:rPr>
        <w:t>ובין היתר</w:t>
      </w:r>
      <w:r>
        <w:rPr>
          <w:rFonts w:cs="Arial" w:ascii="Arial" w:hAnsi="Arial"/>
          <w:rtl w:val="true"/>
        </w:rPr>
        <w:t xml:space="preserve">: </w:t>
      </w:r>
      <w:r>
        <w:rPr>
          <w:rFonts w:cs="Arial" w:ascii="Arial" w:hAnsi="Arial"/>
        </w:rPr>
        <w:t>30</w:t>
      </w:r>
      <w:r>
        <w:rPr>
          <w:rFonts w:cs="Arial" w:ascii="Arial" w:hAnsi="Arial"/>
          <w:rtl w:val="true"/>
        </w:rPr>
        <w:t xml:space="preserve"> </w:t>
      </w:r>
      <w:r>
        <w:rPr>
          <w:rFonts w:ascii="Arial" w:hAnsi="Arial" w:cs="Arial"/>
          <w:rtl w:val="true"/>
        </w:rPr>
        <w:t>חודשים בגין עבירות נשק</w:t>
      </w:r>
      <w:r>
        <w:rPr>
          <w:rFonts w:cs="Arial" w:ascii="Arial" w:hAnsi="Arial"/>
          <w:rtl w:val="true"/>
        </w:rPr>
        <w:t xml:space="preserve">, </w:t>
      </w:r>
      <w:r>
        <w:rPr>
          <w:rFonts w:ascii="Arial" w:hAnsi="Arial" w:cs="Arial"/>
          <w:rtl w:val="true"/>
        </w:rPr>
        <w:t>תוך הפעלת תנאי</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שנים בגין עבירות נשק</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שנים בגין עבירות נשק</w:t>
      </w:r>
      <w:r>
        <w:rPr>
          <w:rFonts w:cs="Arial" w:ascii="Arial" w:hAnsi="Arial"/>
          <w:rtl w:val="true"/>
        </w:rPr>
        <w:t xml:space="preserve">. </w:t>
      </w:r>
    </w:p>
    <w:p>
      <w:pPr>
        <w:pStyle w:val="Normal"/>
        <w:spacing w:lineRule="auto" w:line="360"/>
        <w:ind w:start="720" w:end="0"/>
        <w:jc w:val="both"/>
        <w:rPr>
          <w:rFonts w:ascii="Arial" w:hAnsi="Arial" w:cs="Arial"/>
        </w:rPr>
      </w:pPr>
      <w:r>
        <w:rPr>
          <w:rFonts w:eastAsia="Arial" w:cs="Arial" w:ascii="Arial" w:hAnsi="Arial"/>
          <w:rtl w:val="true"/>
        </w:rPr>
        <w:t xml:space="preserve"> </w:t>
      </w:r>
      <w:r>
        <w:rPr>
          <w:rFonts w:ascii="Arial" w:hAnsi="Arial" w:cs="Arial"/>
          <w:rtl w:val="true"/>
        </w:rPr>
        <w:t xml:space="preserve">בין השנים </w:t>
      </w:r>
      <w:r>
        <w:rPr>
          <w:rFonts w:cs="Arial" w:ascii="Arial" w:hAnsi="Arial"/>
        </w:rPr>
        <w:t>1998</w:t>
      </w:r>
      <w:r>
        <w:rPr>
          <w:rFonts w:cs="Arial" w:ascii="Arial" w:hAnsi="Arial"/>
          <w:rtl w:val="true"/>
        </w:rPr>
        <w:t xml:space="preserve"> -</w:t>
      </w:r>
      <w:r>
        <w:rPr>
          <w:rFonts w:cs="Arial" w:ascii="Arial" w:hAnsi="Arial"/>
        </w:rPr>
        <w:t>2018</w:t>
      </w:r>
      <w:r>
        <w:rPr>
          <w:rFonts w:cs="Arial" w:ascii="Arial" w:hAnsi="Arial"/>
          <w:rtl w:val="true"/>
        </w:rPr>
        <w:t xml:space="preserve"> </w:t>
      </w:r>
      <w:r>
        <w:rPr>
          <w:rFonts w:ascii="Arial" w:hAnsi="Arial" w:cs="Arial"/>
          <w:rtl w:val="true"/>
        </w:rPr>
        <w:t xml:space="preserve">שהה כמעט  </w:t>
      </w:r>
      <w:r>
        <w:rPr>
          <w:rFonts w:cs="Arial" w:ascii="Arial" w:hAnsi="Arial"/>
        </w:rPr>
        <w:t>16</w:t>
      </w:r>
      <w:r>
        <w:rPr>
          <w:rFonts w:cs="Arial" w:ascii="Arial" w:hAnsi="Arial"/>
          <w:rtl w:val="true"/>
        </w:rPr>
        <w:t xml:space="preserve"> </w:t>
      </w:r>
      <w:r>
        <w:rPr>
          <w:rFonts w:ascii="Arial" w:hAnsi="Arial" w:cs="Arial"/>
          <w:rtl w:val="true"/>
        </w:rPr>
        <w:t xml:space="preserve">שנים בכלא </w:t>
      </w:r>
      <w:r>
        <w:rPr>
          <w:rFonts w:cs="Arial" w:ascii="Arial" w:hAnsi="Arial"/>
          <w:rtl w:val="true"/>
        </w:rPr>
        <w:t>(</w:t>
      </w:r>
      <w:r>
        <w:rPr>
          <w:rFonts w:ascii="Arial" w:hAnsi="Arial" w:cs="Arial"/>
          <w:rtl w:val="true"/>
        </w:rPr>
        <w:t xml:space="preserve">מתוך </w:t>
      </w:r>
      <w:r>
        <w:rPr>
          <w:rFonts w:cs="Arial" w:ascii="Arial" w:hAnsi="Arial"/>
        </w:rPr>
        <w:t>20</w:t>
      </w:r>
      <w:r>
        <w:rPr>
          <w:rFonts w:cs="Arial" w:ascii="Arial" w:hAnsi="Arial"/>
          <w:rtl w:val="true"/>
        </w:rPr>
        <w:t xml:space="preserve"> </w:t>
      </w:r>
      <w:r>
        <w:rPr>
          <w:rFonts w:ascii="Arial" w:hAnsi="Arial" w:cs="Arial"/>
          <w:rtl w:val="true"/>
        </w:rPr>
        <w:t>השנים האחרונות</w:t>
      </w:r>
      <w:r>
        <w:rPr>
          <w:rFonts w:cs="Arial" w:ascii="Arial" w:hAnsi="Arial"/>
          <w:rtl w:val="true"/>
        </w:rPr>
        <w:t xml:space="preserve">). </w:t>
      </w:r>
      <w:r>
        <w:rPr>
          <w:rFonts w:ascii="Arial" w:hAnsi="Arial" w:cs="Arial"/>
          <w:rtl w:val="true"/>
        </w:rPr>
        <w:t>את העבירות הנוכחיות ביצע רק כחודשיים וחצי לאחר שחרורו האחרון וזאת כאשר תלוי מעל ראשו מאסר על תנאי של שנתיים</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מאידך ולקולא</w:t>
      </w:r>
      <w:r>
        <w:rPr>
          <w:rFonts w:cs="Arial" w:ascii="Arial" w:hAnsi="Arial"/>
          <w:rtl w:val="true"/>
        </w:rPr>
        <w:t xml:space="preserve">, </w:t>
      </w:r>
      <w:r>
        <w:rPr>
          <w:rFonts w:ascii="Arial" w:hAnsi="Arial" w:cs="Arial"/>
          <w:rtl w:val="true"/>
        </w:rPr>
        <w:t>הנאשם כבר אינו אדם צעיר מאד והוא בעל משפחה אשר תושפע לרעה במידה וירצה תקופת מאסר ארוכה</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הוא בכל זאת נטל אחריות על מעשיו</w:t>
      </w:r>
      <w:r>
        <w:rPr>
          <w:rFonts w:cs="Arial" w:ascii="Arial" w:hAnsi="Arial"/>
          <w:rtl w:val="true"/>
        </w:rPr>
        <w:t xml:space="preserve">, </w:t>
      </w:r>
      <w:r>
        <w:rPr>
          <w:rFonts w:ascii="Arial" w:hAnsi="Arial" w:cs="Arial"/>
          <w:rtl w:val="true"/>
        </w:rPr>
        <w:t>גם אם בשלב מאוחר מאד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33</w:t>
      </w:r>
      <w:r>
        <w:rPr>
          <w:rFonts w:cs="Arial" w:ascii="Arial" w:hAnsi="Arial"/>
          <w:rtl w:val="true"/>
        </w:rPr>
        <w:t>.</w:t>
        <w:tab/>
      </w:r>
      <w:r>
        <w:rPr>
          <w:rFonts w:ascii="Arial" w:hAnsi="Arial" w:cs="Arial"/>
          <w:rtl w:val="true"/>
        </w:rPr>
        <w:t xml:space="preserve">אכן ניתן טכנית להפעיל את הסעיף במקרה דנן כאשר מתקיים התנאי כי </w:t>
      </w:r>
      <w:r>
        <w:rPr>
          <w:rFonts w:cs="Arial" w:ascii="Arial" w:hAnsi="Arial"/>
          <w:b/>
          <w:bCs/>
          <w:rtl w:val="true"/>
        </w:rPr>
        <w:t>"</w:t>
      </w:r>
      <w:r>
        <w:rPr>
          <w:rFonts w:ascii="Arial" w:hAnsi="Arial" w:cs="Arial"/>
          <w:b/>
          <w:b/>
          <w:bCs/>
          <w:rtl w:val="true"/>
        </w:rPr>
        <w:t>יש חשש ממשי שהנאשם יחזור ויבצע עבירות וכי החמרה בעונשו והרחקתו מהציבור נדרשות כדי להגן על  שלום הציבור</w:t>
      </w:r>
      <w:r>
        <w:rPr>
          <w:rFonts w:cs="Arial" w:ascii="Arial" w:hAnsi="Arial"/>
          <w:rtl w:val="true"/>
        </w:rPr>
        <w:t xml:space="preserve">", </w:t>
      </w:r>
      <w:r>
        <w:rPr>
          <w:rFonts w:ascii="Arial" w:hAnsi="Arial" w:cs="Arial"/>
          <w:rtl w:val="true"/>
        </w:rPr>
        <w:t>וכן כי ל</w:t>
      </w:r>
      <w:r>
        <w:rPr>
          <w:rFonts w:cs="Arial" w:ascii="Arial" w:hAnsi="Arial"/>
          <w:b/>
          <w:bCs/>
          <w:rtl w:val="true"/>
        </w:rPr>
        <w:t>"</w:t>
      </w:r>
      <w:r>
        <w:rPr>
          <w:rFonts w:ascii="Arial" w:hAnsi="Arial" w:cs="Arial"/>
          <w:b/>
          <w:b/>
          <w:bCs/>
          <w:rtl w:val="true"/>
        </w:rPr>
        <w:t>נאשם עבר פלילי משמעותי</w:t>
      </w:r>
      <w:r>
        <w:rPr>
          <w:rFonts w:cs="Arial" w:ascii="Arial" w:hAnsi="Arial"/>
          <w:b/>
          <w:bCs/>
          <w:rtl w:val="true"/>
        </w:rPr>
        <w:t>"</w:t>
      </w:r>
      <w:r>
        <w:rPr>
          <w:rFonts w:cs="Arial" w:ascii="Arial" w:hAnsi="Arial"/>
          <w:rtl w:val="true"/>
        </w:rPr>
        <w:t xml:space="preserve"> </w:t>
      </w:r>
      <w:r>
        <w:rPr>
          <w:rFonts w:ascii="Arial" w:hAnsi="Arial" w:cs="Arial"/>
          <w:rtl w:val="true"/>
        </w:rPr>
        <w:t>שהינו אחד מהתנאים החלופיים להפעלת הסעיף</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34</w:t>
      </w:r>
      <w:r>
        <w:rPr>
          <w:rFonts w:cs="Arial" w:ascii="Arial" w:hAnsi="Arial"/>
          <w:rtl w:val="true"/>
        </w:rPr>
        <w:t>.</w:t>
        <w:tab/>
      </w:r>
      <w:r>
        <w:rPr>
          <w:rFonts w:ascii="Arial" w:hAnsi="Arial" w:cs="Arial"/>
          <w:rtl w:val="true"/>
        </w:rPr>
        <w:t>ברם</w:t>
      </w:r>
      <w:r>
        <w:rPr>
          <w:rFonts w:cs="Arial" w:ascii="Arial" w:hAnsi="Arial"/>
          <w:rtl w:val="true"/>
        </w:rPr>
        <w:t xml:space="preserve">, </w:t>
      </w:r>
      <w:r>
        <w:rPr>
          <w:rFonts w:ascii="Arial" w:hAnsi="Arial" w:cs="Arial"/>
          <w:rtl w:val="true"/>
        </w:rPr>
        <w:t>מדובר בסעיף אשר אין מפעילים אותו אלא במקרים חריגים ונדירים</w:t>
      </w:r>
      <w:r>
        <w:rPr>
          <w:rFonts w:cs="Arial" w:ascii="Arial" w:hAnsi="Arial"/>
          <w:rtl w:val="true"/>
        </w:rPr>
        <w:t xml:space="preserve">. </w:t>
      </w:r>
      <w:r>
        <w:rPr>
          <w:rFonts w:ascii="Arial" w:hAnsi="Arial" w:cs="Arial"/>
          <w:rtl w:val="true"/>
        </w:rPr>
        <w:t>ב</w:t>
      </w:r>
      <w:hyperlink r:id="rId44">
        <w:r>
          <w:rPr>
            <w:rStyle w:val="Hyperlink"/>
            <w:rFonts w:ascii="Arial" w:hAnsi="Arial" w:cs="Arial"/>
            <w:color w:val="0000FF"/>
            <w:u w:val="single"/>
            <w:rtl w:val="true"/>
          </w:rPr>
          <w:t>בד</w:t>
        </w:r>
        <w:r>
          <w:rPr>
            <w:rStyle w:val="Hyperlink"/>
            <w:rFonts w:cs="Arial" w:ascii="Arial" w:hAnsi="Arial"/>
            <w:color w:val="0000FF"/>
            <w:u w:val="single"/>
            <w:rtl w:val="true"/>
          </w:rPr>
          <w:t>"</w:t>
        </w:r>
        <w:r>
          <w:rPr>
            <w:rStyle w:val="Hyperlink"/>
            <w:rFonts w:ascii="Arial" w:hAnsi="Arial" w:cs="Arial"/>
            <w:color w:val="0000FF"/>
            <w:u w:val="single"/>
            <w:rtl w:val="true"/>
          </w:rPr>
          <w:t xml:space="preserve">מ </w:t>
        </w:r>
        <w:r>
          <w:rPr>
            <w:rStyle w:val="Hyperlink"/>
            <w:rFonts w:cs="Arial" w:ascii="Arial" w:hAnsi="Arial"/>
            <w:color w:val="0000FF"/>
            <w:u w:val="single"/>
          </w:rPr>
          <w:t>2081/18</w:t>
        </w:r>
      </w:hyperlink>
      <w:r>
        <w:rPr>
          <w:rFonts w:cs="Arial" w:ascii="Arial" w:hAnsi="Arial"/>
          <w:rtl w:val="true"/>
        </w:rPr>
        <w:t xml:space="preserve"> </w:t>
      </w:r>
      <w:r>
        <w:rPr>
          <w:rFonts w:ascii="Arial" w:hAnsi="Arial" w:cs="Arial"/>
          <w:b/>
          <w:b/>
          <w:bCs/>
          <w:rtl w:val="true"/>
        </w:rPr>
        <w:t>שרת המשפטית נ</w:t>
      </w:r>
      <w:r>
        <w:rPr>
          <w:rFonts w:cs="Arial" w:ascii="Arial" w:hAnsi="Arial"/>
          <w:b/>
          <w:bCs/>
          <w:rtl w:val="true"/>
        </w:rPr>
        <w:t xml:space="preserve">' </w:t>
      </w:r>
      <w:r>
        <w:rPr>
          <w:rFonts w:ascii="Arial" w:hAnsi="Arial" w:cs="Arial"/>
          <w:b/>
          <w:b/>
          <w:bCs/>
          <w:rtl w:val="true"/>
        </w:rPr>
        <w:t>השופטת רונית פוזננסקי</w:t>
      </w:r>
      <w:r>
        <w:rPr>
          <w:rFonts w:cs="Arial" w:ascii="Arial" w:hAnsi="Arial"/>
          <w:b/>
          <w:bCs/>
          <w:rtl w:val="true"/>
        </w:rPr>
        <w:t xml:space="preserve">- </w:t>
      </w:r>
      <w:r>
        <w:rPr>
          <w:rFonts w:ascii="Arial" w:hAnsi="Arial" w:cs="Arial"/>
          <w:b/>
          <w:b/>
          <w:bCs/>
          <w:rtl w:val="true"/>
        </w:rPr>
        <w:t xml:space="preserve">כץ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18.7.2018</w:t>
      </w:r>
      <w:r>
        <w:rPr>
          <w:rFonts w:cs="Arial" w:ascii="Arial" w:hAnsi="Arial"/>
          <w:rtl w:val="true"/>
        </w:rPr>
        <w:t xml:space="preserve">) </w:t>
      </w:r>
      <w:r>
        <w:rPr>
          <w:rFonts w:ascii="Arial" w:hAnsi="Arial" w:cs="Arial"/>
          <w:rtl w:val="true"/>
        </w:rPr>
        <w:t xml:space="preserve">נקבע כי </w:t>
      </w:r>
      <w:r>
        <w:rPr>
          <w:rFonts w:cs="Arial" w:ascii="Arial" w:hAnsi="Arial"/>
          <w:rtl w:val="true"/>
        </w:rPr>
        <w:t>"...</w:t>
      </w:r>
      <w:r>
        <w:rPr>
          <w:rFonts w:ascii="Arial" w:hAnsi="Arial" w:cs="Arial"/>
          <w:b/>
          <w:b/>
          <w:bCs/>
          <w:rtl w:val="true"/>
        </w:rPr>
        <w:t xml:space="preserve">החוק והמציאות הפסיקתית מלמדים כי </w:t>
      </w:r>
      <w:hyperlink r:id="rId45">
        <w:r>
          <w:rPr>
            <w:rStyle w:val="Hyperlink"/>
            <w:rFonts w:ascii="Arial" w:hAnsi="Arial" w:cs="Arial"/>
            <w:b/>
            <w:b/>
            <w:bCs/>
            <w:color w:val="0000FF"/>
            <w:u w:val="single"/>
            <w:rtl w:val="true"/>
          </w:rPr>
          <w:t xml:space="preserve">סעיף </w:t>
        </w:r>
        <w:r>
          <w:rPr>
            <w:rStyle w:val="Hyperlink"/>
            <w:rFonts w:cs="Arial" w:ascii="Arial" w:hAnsi="Arial"/>
            <w:b/>
            <w:bCs/>
            <w:color w:val="0000FF"/>
            <w:u w:val="single"/>
          </w:rPr>
          <w:t>40</w:t>
        </w:r>
        <w:r>
          <w:rPr>
            <w:rStyle w:val="Hyperlink"/>
            <w:rFonts w:ascii="Arial" w:hAnsi="Arial" w:cs="Arial"/>
            <w:b/>
            <w:b/>
            <w:bCs/>
            <w:color w:val="0000FF"/>
            <w:u w:val="single"/>
            <w:rtl w:val="true"/>
          </w:rPr>
          <w:t>ה</w:t>
        </w:r>
      </w:hyperlink>
      <w:r>
        <w:rPr>
          <w:rFonts w:ascii="Arial" w:hAnsi="Arial" w:cs="Arial"/>
          <w:b/>
          <w:b/>
          <w:bCs/>
          <w:rtl w:val="true"/>
        </w:rPr>
        <w:t xml:space="preserve"> ל</w:t>
      </w:r>
      <w:hyperlink r:id="rId46">
        <w:r>
          <w:rPr>
            <w:rStyle w:val="Hyperlink"/>
            <w:rFonts w:ascii="Arial" w:hAnsi="Arial" w:cs="Arial"/>
            <w:b/>
            <w:b/>
            <w:bCs/>
            <w:color w:val="0000FF"/>
            <w:u w:val="single"/>
            <w:rtl w:val="true"/>
          </w:rPr>
          <w:t>חוק העונשין</w:t>
        </w:r>
      </w:hyperlink>
      <w:r>
        <w:rPr>
          <w:rFonts w:ascii="Arial" w:hAnsi="Arial" w:cs="Arial"/>
          <w:b/>
          <w:b/>
          <w:bCs/>
          <w:rtl w:val="true"/>
        </w:rPr>
        <w:t xml:space="preserve"> הוא יוצא מן הכלל</w:t>
      </w:r>
      <w:r>
        <w:rPr>
          <w:rFonts w:cs="Arial" w:ascii="Arial" w:hAnsi="Arial"/>
          <w:b/>
          <w:bCs/>
          <w:rtl w:val="true"/>
        </w:rPr>
        <w:t xml:space="preserve">, </w:t>
      </w:r>
      <w:r>
        <w:rPr>
          <w:rFonts w:ascii="Arial" w:hAnsi="Arial" w:cs="Arial"/>
          <w:b/>
          <w:b/>
          <w:bCs/>
          <w:rtl w:val="true"/>
        </w:rPr>
        <w:t>שבתי המשפט אינם מרבים להשתמש בו ושעיקר פועלו הוא דווקא עדות על הכלל</w:t>
      </w:r>
      <w:r>
        <w:rPr>
          <w:rFonts w:cs="Arial" w:ascii="Arial" w:hAnsi="Arial"/>
          <w:b/>
          <w:bCs/>
          <w:rtl w:val="true"/>
        </w:rPr>
        <w:t xml:space="preserve">" </w:t>
      </w:r>
      <w:r>
        <w:rPr>
          <w:rFonts w:cs="Arial" w:ascii="Arial" w:hAnsi="Arial"/>
          <w:rtl w:val="true"/>
        </w:rPr>
        <w:t>(</w:t>
      </w:r>
      <w:r>
        <w:rPr>
          <w:rFonts w:ascii="Arial" w:hAnsi="Arial" w:cs="Arial"/>
          <w:rtl w:val="true"/>
        </w:rPr>
        <w:t>עמ</w:t>
      </w:r>
      <w:r>
        <w:rPr>
          <w:rFonts w:cs="Arial" w:ascii="Arial" w:hAnsi="Arial"/>
          <w:rtl w:val="true"/>
        </w:rPr>
        <w:t xml:space="preserve">' </w:t>
      </w:r>
      <w:r>
        <w:rPr>
          <w:rFonts w:cs="Arial" w:ascii="Arial" w:hAnsi="Arial"/>
        </w:rPr>
        <w:t>41</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35</w:t>
      </w:r>
      <w:r>
        <w:rPr>
          <w:rFonts w:cs="Arial" w:ascii="Arial" w:hAnsi="Arial"/>
          <w:rtl w:val="true"/>
        </w:rPr>
        <w:t>.</w:t>
        <w:tab/>
      </w:r>
      <w:r>
        <w:rPr>
          <w:rFonts w:ascii="Arial" w:hAnsi="Arial" w:cs="Arial"/>
          <w:rtl w:val="true"/>
        </w:rPr>
        <w:t xml:space="preserve">הדעה נותנת כי יש מקום לחרוג לחומרה ממתחם הענישה ההולם רק כאשר השיקולים המנויים בסעיפים </w:t>
      </w:r>
      <w:hyperlink r:id="rId47">
        <w:r>
          <w:rPr>
            <w:rStyle w:val="Hyperlink"/>
            <w:rFonts w:cs="Arial" w:ascii="Arial" w:hAnsi="Arial"/>
            <w:color w:val="0000FF"/>
            <w:u w:val="single"/>
          </w:rPr>
          <w:t>40</w:t>
        </w:r>
        <w:r>
          <w:rPr>
            <w:rStyle w:val="Hyperlink"/>
            <w:rFonts w:ascii="Arial" w:hAnsi="Arial" w:cs="Arial"/>
            <w:color w:val="0000FF"/>
            <w:u w:val="single"/>
            <w:rtl w:val="true"/>
          </w:rPr>
          <w:t>ט ו</w:t>
        </w:r>
        <w:r>
          <w:rPr>
            <w:rStyle w:val="Hyperlink"/>
            <w:rFonts w:cs="Arial" w:ascii="Arial" w:hAnsi="Arial"/>
            <w:color w:val="0000FF"/>
            <w:u w:val="single"/>
            <w:rtl w:val="true"/>
          </w:rPr>
          <w:t>-</w:t>
        </w:r>
        <w:r>
          <w:rPr>
            <w:rStyle w:val="Hyperlink"/>
            <w:rFonts w:cs="Arial" w:ascii="Arial" w:hAnsi="Arial"/>
            <w:color w:val="0000FF"/>
            <w:u w:val="single"/>
          </w:rPr>
          <w:t>40</w:t>
        </w:r>
        <w:r>
          <w:rPr>
            <w:rStyle w:val="Hyperlink"/>
            <w:rFonts w:ascii="Arial" w:hAnsi="Arial" w:cs="Arial"/>
            <w:color w:val="0000FF"/>
            <w:u w:val="single"/>
            <w:rtl w:val="true"/>
          </w:rPr>
          <w:t>י</w:t>
        </w:r>
        <w:r>
          <w:rPr>
            <w:rStyle w:val="Hyperlink"/>
            <w:rFonts w:cs="Arial" w:ascii="Arial" w:hAnsi="Arial"/>
            <w:color w:val="0000FF"/>
            <w:u w:val="single"/>
            <w:rtl w:val="true"/>
          </w:rPr>
          <w:t>"</w:t>
        </w:r>
        <w:r>
          <w:rPr>
            <w:rStyle w:val="Hyperlink"/>
            <w:rFonts w:ascii="Arial" w:hAnsi="Arial" w:cs="Arial"/>
            <w:color w:val="0000FF"/>
            <w:u w:val="single"/>
            <w:rtl w:val="true"/>
          </w:rPr>
          <w:t>א</w:t>
        </w:r>
      </w:hyperlink>
      <w:r>
        <w:rPr>
          <w:rFonts w:ascii="Arial" w:hAnsi="Arial" w:cs="Arial"/>
          <w:rtl w:val="true"/>
        </w:rPr>
        <w:t xml:space="preserve"> לחוק אינם מניבים תוצאה המעניקה את ההגנה הנדרשת על הערך של הגנת שלום הציבור</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36</w:t>
      </w:r>
      <w:r>
        <w:rPr>
          <w:rFonts w:cs="Arial" w:ascii="Arial" w:hAnsi="Arial"/>
          <w:rtl w:val="true"/>
        </w:rPr>
        <w:t>.</w:t>
        <w:tab/>
      </w:r>
      <w:r>
        <w:rPr>
          <w:rFonts w:ascii="Arial" w:hAnsi="Arial" w:cs="Arial"/>
          <w:rtl w:val="true"/>
        </w:rPr>
        <w:t>המקרה דנן על אף שהינו חמור</w:t>
      </w:r>
      <w:r>
        <w:rPr>
          <w:rFonts w:cs="Arial" w:ascii="Arial" w:hAnsi="Arial"/>
          <w:rtl w:val="true"/>
        </w:rPr>
        <w:t xml:space="preserve">, </w:t>
      </w:r>
      <w:r>
        <w:rPr>
          <w:rFonts w:ascii="Arial" w:hAnsi="Arial" w:cs="Arial"/>
          <w:rtl w:val="true"/>
        </w:rPr>
        <w:t>נעדר המאפיין המיוחד הדרוש כדי להצדיק חריגה מהגבול העליון של מתחם הענישה</w:t>
      </w:r>
      <w:r>
        <w:rPr>
          <w:rFonts w:cs="Arial" w:ascii="Arial" w:hAnsi="Arial"/>
          <w:rtl w:val="true"/>
        </w:rPr>
        <w:t xml:space="preserve">. </w:t>
      </w:r>
      <w:r>
        <w:rPr>
          <w:rFonts w:ascii="Arial" w:hAnsi="Arial" w:cs="Arial"/>
          <w:rtl w:val="true"/>
        </w:rPr>
        <w:t>הנאשם הוא אמנם רצידיווי</w:t>
      </w:r>
      <w:r>
        <w:rPr>
          <w:rFonts w:ascii="Arial" w:hAnsi="Arial" w:cs="Arial"/>
          <w:rtl w:val="true"/>
        </w:rPr>
        <w:t>סט</w:t>
      </w:r>
      <w:r>
        <w:rPr>
          <w:rFonts w:ascii="Arial" w:hAnsi="Arial" w:cs="Arial"/>
          <w:rtl w:val="true"/>
        </w:rPr>
        <w:t xml:space="preserve"> סדרתי בכל הנוגע לעבירות נשק ועל אף זאת</w:t>
      </w:r>
      <w:r>
        <w:rPr>
          <w:rFonts w:cs="Arial" w:ascii="Arial" w:hAnsi="Arial"/>
          <w:rtl w:val="true"/>
        </w:rPr>
        <w:t xml:space="preserve">, </w:t>
      </w:r>
      <w:r>
        <w:rPr>
          <w:rFonts w:ascii="Arial" w:hAnsi="Arial" w:cs="Arial"/>
          <w:rtl w:val="true"/>
        </w:rPr>
        <w:t xml:space="preserve">אין הוא נכנס בגדר הקטגוריה הייחודית השמורה למעטים שמעשיהם כה חמורים ומזעזעים שגם הרף הגבוה ביותר של מתחם הענישה אינו מהווה תשובה הולמת לשקלול ענישתם </w:t>
      </w:r>
      <w:r>
        <w:rPr>
          <w:rFonts w:cs="Arial" w:ascii="Arial" w:hAnsi="Arial"/>
          <w:rtl w:val="true"/>
        </w:rPr>
        <w:t>(</w:t>
      </w:r>
      <w:r>
        <w:rPr>
          <w:rFonts w:ascii="Arial" w:hAnsi="Arial" w:cs="Arial"/>
          <w:rtl w:val="true"/>
        </w:rPr>
        <w:t>לעניין זה השוו עם</w:t>
      </w:r>
      <w:r>
        <w:rPr>
          <w:rFonts w:cs="Arial" w:ascii="Arial" w:hAnsi="Arial"/>
          <w:rtl w:val="true"/>
        </w:rPr>
        <w:t xml:space="preserve">: </w:t>
      </w:r>
      <w:hyperlink r:id="rId4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שלום תל אביב</w:t>
        </w:r>
        <w:r>
          <w:rPr>
            <w:rStyle w:val="Hyperlink"/>
            <w:rFonts w:cs="Arial" w:ascii="Arial" w:hAnsi="Arial"/>
            <w:color w:val="0000FF"/>
            <w:u w:val="single"/>
            <w:rtl w:val="true"/>
          </w:rPr>
          <w:t xml:space="preserve">) </w:t>
        </w:r>
        <w:r>
          <w:rPr>
            <w:rStyle w:val="Hyperlink"/>
            <w:rFonts w:cs="Arial" w:ascii="Arial" w:hAnsi="Arial"/>
            <w:color w:val="0000FF"/>
            <w:u w:val="single"/>
          </w:rPr>
          <w:t>76/12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צרפתי</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16.12.2012</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37</w:t>
      </w:r>
      <w:r>
        <w:rPr>
          <w:rFonts w:cs="Arial" w:ascii="Arial" w:hAnsi="Arial"/>
          <w:rtl w:val="true"/>
        </w:rPr>
        <w:t>.</w:t>
        <w:tab/>
      </w:r>
      <w:r>
        <w:rPr>
          <w:rFonts w:ascii="Arial" w:hAnsi="Arial" w:cs="Arial"/>
          <w:rtl w:val="true"/>
        </w:rPr>
        <w:t>בעניין זה יוער כי איני מקבל את טענת הסניגור שעמדת המדינה פסולה כיוון שהיא סותרת את עיקרון של אחידות הענישה וכי על ענישתו של הנאשם להתכתב עם רמות הענישה של המורשעים האחרים במסגרת מבצע הסוכן הנוכחי</w:t>
      </w:r>
      <w:r>
        <w:rPr>
          <w:rFonts w:cs="Arial" w:ascii="Arial" w:hAnsi="Arial"/>
          <w:rtl w:val="true"/>
        </w:rPr>
        <w:t xml:space="preserve">. </w:t>
      </w:r>
      <w:r>
        <w:rPr>
          <w:rFonts w:ascii="Arial" w:hAnsi="Arial" w:cs="Arial"/>
          <w:rtl w:val="true"/>
        </w:rPr>
        <w:t>עקרון אחידות הענישה הוא עקרון רלוונטי</w:t>
      </w:r>
      <w:r>
        <w:rPr>
          <w:rFonts w:cs="Arial" w:ascii="Arial" w:hAnsi="Arial"/>
          <w:rtl w:val="true"/>
        </w:rPr>
        <w:t xml:space="preserve">, </w:t>
      </w:r>
      <w:r>
        <w:rPr>
          <w:rFonts w:ascii="Arial" w:hAnsi="Arial" w:cs="Arial"/>
          <w:rtl w:val="true"/>
        </w:rPr>
        <w:t xml:space="preserve">ברם מהווה אך נתון אחד מתוך הנתונים שיש לקחתם בחשבון </w:t>
      </w:r>
      <w:r>
        <w:rPr>
          <w:rFonts w:cs="Arial" w:ascii="Arial" w:hAnsi="Arial"/>
          <w:rtl w:val="true"/>
        </w:rPr>
        <w:t>(</w:t>
      </w:r>
      <w:r>
        <w:rPr>
          <w:rFonts w:ascii="Arial" w:hAnsi="Arial" w:cs="Arial"/>
          <w:rtl w:val="true"/>
        </w:rPr>
        <w:t xml:space="preserve">עוד יוער כי ספק אם הוא חל במלוא התוקף כאשר אין מדובר באותה פרשה אלא בפרשות מקבילות שהמכנה המשותף ביניהם הינו דמות הסוכן המשטרתי שהופעל </w:t>
      </w:r>
      <w:r>
        <w:rPr>
          <w:rFonts w:ascii="Arial" w:hAnsi="Arial" w:cs="Arial"/>
          <w:rtl w:val="true"/>
        </w:rPr>
        <w:t>–</w:t>
      </w:r>
      <w:r>
        <w:rPr>
          <w:rFonts w:ascii="Arial" w:hAnsi="Arial" w:cs="Arial"/>
          <w:rtl w:val="true"/>
        </w:rPr>
        <w:t xml:space="preserve"> לעניין זה ראו המקרה שאוזכר על ידי הסנגור</w:t>
      </w:r>
      <w:r>
        <w:rPr>
          <w:rFonts w:cs="Arial" w:ascii="Arial" w:hAnsi="Arial"/>
          <w:rtl w:val="true"/>
        </w:rPr>
        <w:t xml:space="preserve">, </w:t>
      </w:r>
      <w:hyperlink r:id="rId4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4597/13</w:t>
        </w:r>
      </w:hyperlink>
      <w:r>
        <w:rPr>
          <w:rFonts w:cs="Arial" w:ascii="Arial" w:hAnsi="Arial"/>
          <w:rtl w:val="true"/>
        </w:rPr>
        <w:t xml:space="preserve"> </w:t>
      </w:r>
      <w:r>
        <w:rPr>
          <w:rFonts w:ascii="Arial" w:hAnsi="Arial" w:cs="Arial"/>
          <w:b/>
          <w:b/>
          <w:bCs/>
          <w:rtl w:val="true"/>
        </w:rPr>
        <w:t>פיצ</w:t>
      </w:r>
      <w:r>
        <w:rPr>
          <w:rFonts w:cs="Arial" w:ascii="Arial" w:hAnsi="Arial"/>
          <w:b/>
          <w:bCs/>
          <w:rtl w:val="true"/>
        </w:rPr>
        <w:t>'</w:t>
      </w:r>
      <w:r>
        <w:rPr>
          <w:rFonts w:ascii="Arial" w:hAnsi="Arial" w:cs="Arial"/>
          <w:b/>
          <w:b/>
          <w:bCs/>
          <w:rtl w:val="true"/>
        </w:rPr>
        <w:t>ו נ</w:t>
      </w:r>
      <w:r>
        <w:rPr>
          <w:rFonts w:cs="Arial" w:ascii="Arial" w:hAnsi="Arial"/>
          <w:b/>
          <w:bCs/>
          <w:rtl w:val="true"/>
        </w:rPr>
        <w:t xml:space="preserve">' </w:t>
      </w:r>
      <w:r>
        <w:rPr>
          <w:rFonts w:ascii="Arial" w:hAnsi="Arial" w:cs="Arial"/>
          <w:b/>
          <w:b/>
          <w:bCs/>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b/>
          <w:bCs/>
          <w:rtl w:val="true"/>
        </w:rPr>
        <w:t>(</w:t>
      </w:r>
      <w:r>
        <w:rPr>
          <w:rFonts w:cs="Arial" w:ascii="Arial" w:hAnsi="Arial"/>
          <w:b/>
          <w:bCs/>
        </w:rPr>
        <w:t>22.9.2014</w:t>
      </w:r>
      <w:r>
        <w:rPr>
          <w:rFonts w:cs="Arial" w:ascii="Arial" w:hAnsi="Arial"/>
          <w:b/>
          <w:bCs/>
          <w:rtl w:val="true"/>
        </w:rPr>
        <w:t>)</w:t>
      </w:r>
      <w:r>
        <w:rPr>
          <w:rFonts w:cs="Arial" w:ascii="Arial" w:hAnsi="Arial"/>
          <w:rtl w:val="true"/>
        </w:rPr>
        <w:t xml:space="preserve">. </w:t>
      </w:r>
      <w:r>
        <w:rPr>
          <w:rFonts w:ascii="Arial" w:hAnsi="Arial" w:cs="Arial"/>
          <w:rtl w:val="true"/>
        </w:rPr>
        <w:t>מכל מקום</w:t>
      </w:r>
      <w:r>
        <w:rPr>
          <w:rFonts w:cs="Arial" w:ascii="Arial" w:hAnsi="Arial"/>
          <w:rtl w:val="true"/>
        </w:rPr>
        <w:t xml:space="preserve">, </w:t>
      </w:r>
      <w:r>
        <w:rPr>
          <w:rFonts w:ascii="Arial" w:hAnsi="Arial" w:cs="Arial"/>
          <w:rtl w:val="true"/>
        </w:rPr>
        <w:t>הנתון החמור והקובע לגבי הנאשם דנן הינו החזרתיות על ביצוע עבירות נשק מצידו בתדירות גבוהה והטענה כי הענישה שהוטלה עליו עד היום לא הספיקה כדי להניא אותו מחזרה לעולם הפשע וביצוע עבירות נשק נוספות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38</w:t>
      </w:r>
      <w:r>
        <w:rPr>
          <w:rFonts w:cs="Arial" w:ascii="Arial" w:hAnsi="Arial"/>
          <w:rtl w:val="true"/>
        </w:rPr>
        <w:t>.</w:t>
        <w:tab/>
      </w:r>
      <w:r>
        <w:rPr>
          <w:rFonts w:ascii="Arial" w:hAnsi="Arial" w:cs="Arial"/>
          <w:b/>
          <w:b/>
          <w:bCs/>
          <w:u w:val="single"/>
          <w:rtl w:val="true"/>
        </w:rPr>
        <w:t>מכל האמור הגעתי למסקנה כי יש להעניש את הנאשם בחומרה בגבול העליון של המתחם</w:t>
      </w:r>
      <w:r>
        <w:rPr>
          <w:rFonts w:cs="Arial" w:ascii="Arial" w:hAnsi="Arial"/>
          <w:b/>
          <w:bCs/>
          <w:u w:val="single"/>
          <w:rtl w:val="true"/>
        </w:rPr>
        <w:t>.</w:t>
      </w:r>
    </w:p>
    <w:p>
      <w:pPr>
        <w:pStyle w:val="Normal"/>
        <w:spacing w:lineRule="auto" w:line="360"/>
        <w:ind w:start="720" w:end="0"/>
        <w:jc w:val="both"/>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Fonts w:ascii="Arial" w:hAnsi="Arial" w:cs="Arial"/>
          <w:rtl w:val="true"/>
        </w:rPr>
        <w:t>אשר על כן</w:t>
      </w:r>
      <w:r>
        <w:rPr>
          <w:rFonts w:cs="Arial" w:ascii="Arial" w:hAnsi="Arial"/>
          <w:rtl w:val="true"/>
        </w:rPr>
        <w:t xml:space="preserve">, </w:t>
      </w:r>
      <w:r>
        <w:rPr>
          <w:rFonts w:ascii="Arial" w:hAnsi="Arial" w:cs="Arial"/>
          <w:rtl w:val="true"/>
        </w:rPr>
        <w:t>הנני מטיל עונשים כדלקמן</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Fonts w:cs="Arial" w:ascii="Arial" w:hAnsi="Arial"/>
        </w:rPr>
        <w:t>6</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כאשר תנוכה תקופת המאסר החל מיום </w:t>
      </w:r>
      <w:r>
        <w:rPr>
          <w:rFonts w:cs="Arial" w:ascii="Arial" w:hAnsi="Arial"/>
        </w:rPr>
        <w:t>26.12.18</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Fonts w:cs="Arial" w:ascii="Arial" w:hAnsi="Arial"/>
        </w:rPr>
        <w:t>12</w:t>
      </w:r>
      <w:r>
        <w:rPr>
          <w:rFonts w:cs="Arial" w:ascii="Arial" w:hAnsi="Arial"/>
          <w:rtl w:val="true"/>
        </w:rPr>
        <w:t xml:space="preserve"> </w:t>
      </w:r>
      <w:r>
        <w:rPr>
          <w:rFonts w:ascii="Arial" w:hAnsi="Arial" w:cs="Arial"/>
          <w:rtl w:val="true"/>
        </w:rPr>
        <w:t>חודשים מאסר על תנאי  למשך שלוש שנים ממועד שחרורו שיופעלו במידה והנאשם יעבור עבירות נשק או אלימות מסוג פשע</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Fonts w:ascii="Arial" w:hAnsi="Arial" w:cs="Arial"/>
          <w:rtl w:val="true"/>
        </w:rPr>
        <w:t>המאסר על תנאי מ</w:t>
      </w:r>
      <w:hyperlink r:id="rId5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54526-06-15</w:t>
        </w:r>
      </w:hyperlink>
      <w:r>
        <w:rPr>
          <w:rFonts w:cs="Arial" w:ascii="Arial" w:hAnsi="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w:hAnsi="Arial" w:cs="Arial"/>
          <w:rtl w:val="true"/>
        </w:rPr>
        <w:t xml:space="preserve">של </w:t>
      </w:r>
      <w:r>
        <w:rPr>
          <w:rFonts w:cs="Arial" w:ascii="Arial" w:hAnsi="Arial"/>
        </w:rPr>
        <w:t>24</w:t>
      </w:r>
      <w:r>
        <w:rPr>
          <w:rFonts w:cs="Arial" w:ascii="Arial" w:hAnsi="Arial"/>
          <w:rtl w:val="true"/>
        </w:rPr>
        <w:t xml:space="preserve"> </w:t>
      </w:r>
      <w:r>
        <w:rPr>
          <w:rFonts w:ascii="Arial" w:hAnsi="Arial" w:cs="Arial"/>
          <w:rtl w:val="true"/>
        </w:rPr>
        <w:t xml:space="preserve">חודשים יופעל מחציתו במצטבר ומחציתו בחופף </w:t>
      </w:r>
      <w:r>
        <w:rPr>
          <w:rFonts w:ascii="Arial" w:hAnsi="Arial" w:cs="Arial"/>
          <w:rtl w:val="true"/>
        </w:rPr>
        <w:t>–</w:t>
      </w:r>
      <w:r>
        <w:rPr>
          <w:rFonts w:ascii="Arial" w:hAnsi="Arial" w:cs="Arial"/>
          <w:rtl w:val="true"/>
        </w:rPr>
        <w:t xml:space="preserve"> דהיינו </w:t>
      </w:r>
      <w:r>
        <w:rPr>
          <w:rFonts w:cs="Arial" w:ascii="Arial" w:hAnsi="Arial"/>
        </w:rPr>
        <w:t>12</w:t>
      </w:r>
      <w:r>
        <w:rPr>
          <w:rFonts w:cs="Arial" w:ascii="Arial" w:hAnsi="Arial"/>
          <w:rtl w:val="true"/>
        </w:rPr>
        <w:t xml:space="preserve"> </w:t>
      </w:r>
      <w:r>
        <w:rPr>
          <w:rFonts w:ascii="Arial" w:hAnsi="Arial" w:cs="Arial"/>
          <w:rtl w:val="true"/>
        </w:rPr>
        <w:t>חודשים במצטבר</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ListParagraph"/>
        <w:numPr>
          <w:ilvl w:val="0"/>
          <w:numId w:val="1"/>
        </w:numPr>
        <w:spacing w:lineRule="auto" w:line="360"/>
        <w:ind w:hanging="360" w:start="1080" w:end="0"/>
        <w:jc w:val="both"/>
        <w:rPr>
          <w:rFonts w:ascii="Arial" w:hAnsi="Arial" w:cs="Arial"/>
        </w:rPr>
      </w:pPr>
      <w:r>
        <w:rPr>
          <w:rFonts w:ascii="Arial" w:hAnsi="Arial" w:cs="Arial"/>
          <w:rtl w:val="true"/>
        </w:rPr>
        <w:t xml:space="preserve">קנס בסך </w:t>
      </w:r>
      <w:r>
        <w:rPr>
          <w:rFonts w:cs="Arial" w:ascii="Arial" w:hAnsi="Arial"/>
        </w:rPr>
        <w:t>10,000</w:t>
      </w:r>
      <w:r>
        <w:rPr>
          <w:rFonts w:cs="Arial" w:ascii="Arial" w:hAnsi="Arial"/>
          <w:rtl w:val="true"/>
        </w:rPr>
        <w:t xml:space="preserve"> ₪ </w:t>
      </w:r>
      <w:r>
        <w:rPr>
          <w:rFonts w:ascii="Arial" w:hAnsi="Arial" w:cs="Arial"/>
          <w:rtl w:val="true"/>
        </w:rPr>
        <w:t xml:space="preserve">לתשלום עד ליום </w:t>
      </w:r>
      <w:r>
        <w:rPr>
          <w:rFonts w:cs="Arial" w:ascii="Arial" w:hAnsi="Arial"/>
        </w:rPr>
        <w:t>31.12.21</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 xml:space="preserve">זכות ערעור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יום</w:t>
      </w:r>
      <w:r>
        <w:rPr>
          <w:rFonts w:cs="Arial" w:ascii="Arial" w:hAnsi="Arial"/>
          <w:b/>
          <w:bCs/>
          <w:u w:val="single"/>
          <w:rtl w:val="true"/>
        </w:rPr>
        <w:t>.</w:t>
      </w:r>
    </w:p>
    <w:p>
      <w:pPr>
        <w:pStyle w:val="Normal"/>
        <w:ind w:end="0"/>
        <w:jc w:val="start"/>
        <w:rPr>
          <w:rFonts w:ascii="Arial" w:hAnsi="Arial" w:cs="Arial"/>
          <w:b/>
          <w:bCs/>
          <w:u w:val="single"/>
        </w:rPr>
      </w:pPr>
      <w:r>
        <w:rPr>
          <w:rFonts w:cs="Arial" w:ascii="Arial" w:hAnsi="Arial"/>
          <w:b/>
          <w:bCs/>
          <w:u w:val="single"/>
          <w:rtl w:val="true"/>
        </w:rPr>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b/>
          <w:bCs/>
          <w:sz w:val="28"/>
          <w:szCs w:val="28"/>
        </w:rPr>
      </w:pPr>
      <w:bookmarkStart w:id="13" w:name="Nitan"/>
      <w:r>
        <w:rPr>
          <w:rFonts w:cs="Arial" w:ascii="Arial" w:hAnsi="Arial"/>
          <w:b/>
          <w:bCs/>
          <w:color w:val="FFFFFF"/>
          <w:sz w:val="2"/>
          <w:szCs w:val="2"/>
        </w:rPr>
        <w:t>54678313</w:t>
      </w:r>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ד</w:t>
      </w:r>
      <w:r>
        <w:rPr>
          <w:rFonts w:cs="Arial" w:ascii="Arial" w:hAnsi="Arial"/>
          <w:b/>
          <w:bCs/>
          <w:rtl w:val="true"/>
        </w:rPr>
        <w:t xml:space="preserve">' </w:t>
      </w:r>
      <w:r>
        <w:rPr>
          <w:rFonts w:ascii="Arial" w:hAnsi="Arial" w:cs="Arial"/>
          <w:b/>
          <w:b/>
          <w:bCs/>
          <w:rtl w:val="true"/>
        </w:rPr>
        <w:t>שבט תש</w:t>
      </w:r>
      <w:r>
        <w:rPr>
          <w:rFonts w:cs="Arial" w:ascii="Arial" w:hAnsi="Arial"/>
          <w:b/>
          <w:bCs/>
          <w:rtl w:val="true"/>
        </w:rPr>
        <w:t>"</w:t>
      </w:r>
      <w:r>
        <w:rPr>
          <w:rFonts w:ascii="Arial" w:hAnsi="Arial" w:cs="Arial"/>
          <w:b/>
          <w:b/>
          <w:bCs/>
          <w:rtl w:val="true"/>
        </w:rPr>
        <w:t>פ</w:t>
      </w:r>
      <w:r>
        <w:rPr>
          <w:rFonts w:cs="Arial" w:ascii="Arial" w:hAnsi="Arial"/>
          <w:b/>
          <w:bCs/>
          <w:rtl w:val="true"/>
        </w:rPr>
        <w:t xml:space="preserve">, </w:t>
      </w:r>
      <w:r>
        <w:rPr>
          <w:rFonts w:cs="Arial" w:ascii="Arial" w:hAnsi="Arial"/>
          <w:b/>
          <w:bCs/>
        </w:rPr>
        <w:t>30</w:t>
      </w:r>
      <w:r>
        <w:rPr>
          <w:rFonts w:cs="Arial" w:ascii="Arial" w:hAnsi="Arial"/>
          <w:b/>
          <w:bCs/>
          <w:rtl w:val="true"/>
        </w:rPr>
        <w:t xml:space="preserve"> </w:t>
      </w:r>
      <w:r>
        <w:rPr>
          <w:rFonts w:ascii="Arial" w:hAnsi="Arial" w:cs="Arial"/>
          <w:b/>
          <w:b/>
          <w:bCs/>
          <w:rtl w:val="true"/>
        </w:rPr>
        <w:t xml:space="preserve">ינואר </w:t>
      </w:r>
      <w:r>
        <w:rPr>
          <w:rFonts w:cs="Arial" w:ascii="Arial" w:hAnsi="Arial"/>
          <w:b/>
          <w:bCs/>
        </w:rPr>
        <w:t>2020</w:t>
      </w:r>
      <w:r>
        <w:rPr>
          <w:rFonts w:cs="Arial" w:ascii="Arial" w:hAnsi="Arial"/>
          <w:b/>
          <w:bCs/>
          <w:rtl w:val="true"/>
        </w:rPr>
        <w:t xml:space="preserve">, </w:t>
      </w:r>
      <w:r>
        <w:rPr>
          <w:rFonts w:ascii="Arial" w:hAnsi="Arial" w:cs="Arial"/>
          <w:b/>
          <w:b/>
          <w:bCs/>
          <w:rtl w:val="true"/>
        </w:rPr>
        <w:t>בהעדר הצדדים</w:t>
      </w:r>
      <w:r>
        <w:rPr>
          <w:rFonts w:cs="Arial" w:ascii="Arial" w:hAnsi="Arial"/>
          <w:b/>
          <w:bCs/>
          <w:rtl w:val="true"/>
        </w:rPr>
        <w:t xml:space="preserve">. </w:t>
      </w:r>
      <w:bookmarkEnd w:id="13"/>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5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52"/>
      <w:footerReference w:type="default" r:id="rId5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19438-03-18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מוחמד אמארה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08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e" TargetMode="External"/><Relationship Id="rId4" Type="http://schemas.openxmlformats.org/officeDocument/2006/relationships/hyperlink" Target="http://www.nevo.co.il/law/70301/40.i." TargetMode="External"/><Relationship Id="rId5" Type="http://schemas.openxmlformats.org/officeDocument/2006/relationships/hyperlink" Target="http://www.nevo.co.il/law/70301/40.ja" TargetMode="External"/><Relationship Id="rId6" Type="http://schemas.openxmlformats.org/officeDocument/2006/relationships/hyperlink" Target="http://www.nevo.co.il/law/70301/40e"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144.b2.c" TargetMode="External"/><Relationship Id="rId10" Type="http://schemas.openxmlformats.org/officeDocument/2006/relationships/hyperlink" Target="http://www.nevo.co.il/law/5227" TargetMode="External"/><Relationship Id="rId11" Type="http://schemas.openxmlformats.org/officeDocument/2006/relationships/hyperlink" Target="http://www.nevo.co.il/law/5227/10.a." TargetMode="External"/><Relationship Id="rId12" Type="http://schemas.openxmlformats.org/officeDocument/2006/relationships/hyperlink" Target="http://www.nevo.co.il/law/5227/62.1" TargetMode="External"/><Relationship Id="rId13" Type="http://schemas.openxmlformats.org/officeDocument/2006/relationships/hyperlink" Target="http://www.nevo.co.il/law/74501" TargetMode="External"/><Relationship Id="rId14" Type="http://schemas.openxmlformats.org/officeDocument/2006/relationships/hyperlink" Target="http://www.nevo.co.il/law/74501/2" TargetMode="External"/><Relationship Id="rId15" Type="http://schemas.openxmlformats.org/officeDocument/2006/relationships/hyperlink" Target="http://www.nevo.co.il/law/70301/144.b2.c" TargetMode="External"/><Relationship Id="rId16" Type="http://schemas.openxmlformats.org/officeDocument/2006/relationships/hyperlink" Target="http://www.nevo.co.il/law/70301/144.b2.c" TargetMode="External"/><Relationship Id="rId17" Type="http://schemas.openxmlformats.org/officeDocument/2006/relationships/hyperlink" Target="http://www.nevo.co.il/law/70301" TargetMode="External"/><Relationship Id="rId18" Type="http://schemas.openxmlformats.org/officeDocument/2006/relationships/hyperlink" Target="http://www.nevo.co.il/law/70301/144.a" TargetMode="External"/><Relationship Id="rId19" Type="http://schemas.openxmlformats.org/officeDocument/2006/relationships/hyperlink" Target="http://www.nevo.co.il/law/70301/144.b" TargetMode="External"/><Relationship Id="rId20" Type="http://schemas.openxmlformats.org/officeDocument/2006/relationships/hyperlink" Target="http://www.nevo.co.il/law/5227/10.a.;62.1" TargetMode="External"/><Relationship Id="rId21" Type="http://schemas.openxmlformats.org/officeDocument/2006/relationships/hyperlink" Target="http://www.nevo.co.il/law/5227" TargetMode="External"/><Relationship Id="rId22" Type="http://schemas.openxmlformats.org/officeDocument/2006/relationships/hyperlink" Target="http://www.nevo.co.il/law/74501/2" TargetMode="External"/><Relationship Id="rId23" Type="http://schemas.openxmlformats.org/officeDocument/2006/relationships/hyperlink" Target="http://www.nevo.co.il/law/74501" TargetMode="External"/><Relationship Id="rId24" Type="http://schemas.openxmlformats.org/officeDocument/2006/relationships/hyperlink" Target="http://www.nevo.co.il/case/25824897" TargetMode="External"/><Relationship Id="rId25" Type="http://schemas.openxmlformats.org/officeDocument/2006/relationships/hyperlink" Target="http://www.nevo.co.il/case/23814031" TargetMode="External"/><Relationship Id="rId26" Type="http://schemas.openxmlformats.org/officeDocument/2006/relationships/hyperlink" Target="http://www.nevo.co.il/case/20741375" TargetMode="External"/><Relationship Id="rId27" Type="http://schemas.openxmlformats.org/officeDocument/2006/relationships/hyperlink" Target="http://www.nevo.co.il/case/22579095" TargetMode="External"/><Relationship Id="rId28" Type="http://schemas.openxmlformats.org/officeDocument/2006/relationships/hyperlink" Target="http://www.nevo.co.il/case/21474168" TargetMode="External"/><Relationship Id="rId29" Type="http://schemas.openxmlformats.org/officeDocument/2006/relationships/hyperlink" Target="http://www.nevo.co.il/case/5821327" TargetMode="External"/><Relationship Id="rId30" Type="http://schemas.openxmlformats.org/officeDocument/2006/relationships/hyperlink" Target="http://www.nevo.co.il/case/5716761" TargetMode="External"/><Relationship Id="rId31" Type="http://schemas.openxmlformats.org/officeDocument/2006/relationships/hyperlink" Target="http://www.nevo.co.il/case/2826742" TargetMode="External"/><Relationship Id="rId32" Type="http://schemas.openxmlformats.org/officeDocument/2006/relationships/hyperlink" Target="http://www.nevo.co.il/case/6000182" TargetMode="External"/><Relationship Id="rId33" Type="http://schemas.openxmlformats.org/officeDocument/2006/relationships/hyperlink" Target="http://www.nevo.co.il/case/5821328" TargetMode="External"/><Relationship Id="rId34" Type="http://schemas.openxmlformats.org/officeDocument/2006/relationships/hyperlink" Target="http://www.nevo.co.il/law/70301/40e"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40.e"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40.e" TargetMode="External"/><Relationship Id="rId39" Type="http://schemas.openxmlformats.org/officeDocument/2006/relationships/hyperlink" Target="http://www.nevo.co.il/law/70301/40.e" TargetMode="External"/><Relationship Id="rId40" Type="http://schemas.openxmlformats.org/officeDocument/2006/relationships/hyperlink" Target="http://www.nevo.co.il/case/23766801" TargetMode="External"/><Relationship Id="rId41" Type="http://schemas.openxmlformats.org/officeDocument/2006/relationships/hyperlink" Target="http://www.nevo.co.il/case/23767331" TargetMode="External"/><Relationship Id="rId42" Type="http://schemas.openxmlformats.org/officeDocument/2006/relationships/hyperlink" Target="http://www.nevo.co.il/case/23775449" TargetMode="External"/><Relationship Id="rId43" Type="http://schemas.openxmlformats.org/officeDocument/2006/relationships/hyperlink" Target="http://www.nevo.co.il/case/23767331" TargetMode="External"/><Relationship Id="rId44" Type="http://schemas.openxmlformats.org/officeDocument/2006/relationships/hyperlink" Target="http://www.nevo.co.il/case/23777495" TargetMode="External"/><Relationship Id="rId45" Type="http://schemas.openxmlformats.org/officeDocument/2006/relationships/hyperlink" Target="http://www.nevo.co.il/law/70301/40e"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40.i.;40.ja" TargetMode="External"/><Relationship Id="rId48" Type="http://schemas.openxmlformats.org/officeDocument/2006/relationships/hyperlink" Target="http://www.nevo.co.il/case/4141024" TargetMode="External"/><Relationship Id="rId49" Type="http://schemas.openxmlformats.org/officeDocument/2006/relationships/hyperlink" Target="http://www.nevo.co.il/case/7697315" TargetMode="External"/><Relationship Id="rId50" Type="http://schemas.openxmlformats.org/officeDocument/2006/relationships/hyperlink" Target="http://www.nevo.co.il/case/20392555" TargetMode="External"/><Relationship Id="rId51" Type="http://schemas.openxmlformats.org/officeDocument/2006/relationships/hyperlink" Target="http://www.nevo.co.il/advertisements/nevo-100.do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2020-03-11T08:31:00Z</dcterms:created>
  <dc:creator> </dc:creator>
  <dc:description/>
  <cp:keywords/>
  <dc:language>en-IL</dc:language>
  <cp:lastModifiedBy>orly</cp:lastModifiedBy>
  <dcterms:modified xsi:type="dcterms:W3CDTF">2020-03-11T08:31:00Z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אמארה  </vt:lpwstr>
  </property>
  <property fmtid="{D5CDD505-2E9C-101B-9397-08002B2CF9AE}" pid="6" name="APPELLEE1">
    <vt:lpwstr/>
  </property>
  <property fmtid="{D5CDD505-2E9C-101B-9397-08002B2CF9AE}" pid="7" name="APPELLEE2">
    <vt:lpwstr/>
  </property>
  <property fmtid="{D5CDD505-2E9C-101B-9397-08002B2CF9AE}" pid="8" name="CASESLISTTMP1">
    <vt:lpwstr>25824897;23814031;20741375;22579095;21474168;5821327;5716761;2826742;6000182;5821328;23766801;23767331:2;23775449;23777495;4141024;7697315;20392555</vt:lpwstr>
  </property>
  <property fmtid="{D5CDD505-2E9C-101B-9397-08002B2CF9AE}" pid="9" name="CITY">
    <vt:lpwstr>חי'</vt:lpwstr>
  </property>
  <property fmtid="{D5CDD505-2E9C-101B-9397-08002B2CF9AE}" pid="10" name="DATE">
    <vt:lpwstr>20200130</vt:lpwstr>
  </property>
  <property fmtid="{D5CDD505-2E9C-101B-9397-08002B2CF9AE}" pid="11" name="DELEMATA">
    <vt:lpwstr/>
  </property>
  <property fmtid="{D5CDD505-2E9C-101B-9397-08002B2CF9AE}" pid="12" name="ISABSTRACT">
    <vt:lpwstr>Y</vt:lpwstr>
  </property>
  <property fmtid="{D5CDD505-2E9C-101B-9397-08002B2CF9AE}" pid="13" name="JUDGE">
    <vt:lpwstr>דניאל פיש</vt:lpwstr>
  </property>
  <property fmtid="{D5CDD505-2E9C-101B-9397-08002B2CF9AE}" pid="14" name="LAWLISTTMP1">
    <vt:lpwstr>70301/144.b2.c;144.a;144.b;040e:2;040.e:3;040.i;040.ja</vt:lpwstr>
  </property>
  <property fmtid="{D5CDD505-2E9C-101B-9397-08002B2CF9AE}" pid="15" name="LAWLISTTMP2">
    <vt:lpwstr>5227/010.a;062.1</vt:lpwstr>
  </property>
  <property fmtid="{D5CDD505-2E9C-101B-9397-08002B2CF9AE}" pid="16" name="LAWLISTTMP3">
    <vt:lpwstr>74501/002</vt:lpwstr>
  </property>
  <property fmtid="{D5CDD505-2E9C-101B-9397-08002B2CF9AE}" pid="17" name="LAWYER">
    <vt:lpwstr>בני פסקל;פארס בריק</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מיכל</vt:lpwstr>
  </property>
  <property fmtid="{D5CDD505-2E9C-101B-9397-08002B2CF9AE}" pid="24" name="NEWPARTA">
    <vt:lpwstr>19438</vt:lpwstr>
  </property>
  <property fmtid="{D5CDD505-2E9C-101B-9397-08002B2CF9AE}" pid="25" name="NEWPARTB">
    <vt:lpwstr>03</vt:lpwstr>
  </property>
  <property fmtid="{D5CDD505-2E9C-101B-9397-08002B2CF9AE}" pid="26" name="NEWPARTC">
    <vt:lpwstr>18</vt:lpwstr>
  </property>
  <property fmtid="{D5CDD505-2E9C-101B-9397-08002B2CF9AE}" pid="27" name="NEWPROC">
    <vt:lpwstr>תפ</vt:lpwstr>
  </property>
  <property fmtid="{D5CDD505-2E9C-101B-9397-08002B2CF9AE}" pid="28" name="NOSE11">
    <vt:lpwstr>עונשין</vt:lpwstr>
  </property>
  <property fmtid="{D5CDD505-2E9C-101B-9397-08002B2CF9AE}" pid="29" name="NOSE110">
    <vt:lpwstr/>
  </property>
  <property fmtid="{D5CDD505-2E9C-101B-9397-08002B2CF9AE}" pid="30" name="NOSE12">
    <vt:lpwstr/>
  </property>
  <property fmtid="{D5CDD505-2E9C-101B-9397-08002B2CF9AE}" pid="31" name="NOSE13">
    <vt:lpwstr/>
  </property>
  <property fmtid="{D5CDD505-2E9C-101B-9397-08002B2CF9AE}" pid="32" name="NOSE14">
    <vt:lpwstr/>
  </property>
  <property fmtid="{D5CDD505-2E9C-101B-9397-08002B2CF9AE}" pid="33" name="NOSE15">
    <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vt:lpwstr>
  </property>
  <property fmtid="{D5CDD505-2E9C-101B-9397-08002B2CF9AE}" pid="39" name="NOSE21">
    <vt:lpwstr>ענישה</vt:lpwstr>
  </property>
  <property fmtid="{D5CDD505-2E9C-101B-9397-08002B2CF9AE}" pid="40" name="NOSE210">
    <vt:lpwstr/>
  </property>
  <property fmtid="{D5CDD505-2E9C-101B-9397-08002B2CF9AE}" pid="41" name="NOSE22">
    <vt:lpwstr/>
  </property>
  <property fmtid="{D5CDD505-2E9C-101B-9397-08002B2CF9AE}" pid="42" name="NOSE23">
    <vt:lpwstr/>
  </property>
  <property fmtid="{D5CDD505-2E9C-101B-9397-08002B2CF9AE}" pid="43" name="NOSE24">
    <vt:lpwstr/>
  </property>
  <property fmtid="{D5CDD505-2E9C-101B-9397-08002B2CF9AE}" pid="44" name="NOSE25">
    <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vt:lpwstr>
  </property>
  <property fmtid="{D5CDD505-2E9C-101B-9397-08002B2CF9AE}" pid="50" name="NOSE31">
    <vt:lpwstr>מדיניות ענישה: עבירות נשק</vt:lpwstr>
  </property>
  <property fmtid="{D5CDD505-2E9C-101B-9397-08002B2CF9AE}" pid="51" name="NOSE310">
    <vt:lpwstr/>
  </property>
  <property fmtid="{D5CDD505-2E9C-101B-9397-08002B2CF9AE}" pid="52" name="NOSE32">
    <vt:lpwstr/>
  </property>
  <property fmtid="{D5CDD505-2E9C-101B-9397-08002B2CF9AE}" pid="53" name="NOSE33">
    <vt:lpwstr/>
  </property>
  <property fmtid="{D5CDD505-2E9C-101B-9397-08002B2CF9AE}" pid="54" name="NOSE34">
    <vt:lpwstr/>
  </property>
  <property fmtid="{D5CDD505-2E9C-101B-9397-08002B2CF9AE}" pid="55" name="NOSE35">
    <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13800</vt:lpwstr>
  </property>
  <property fmtid="{D5CDD505-2E9C-101B-9397-08002B2CF9AE}" pid="61" name="PADIDATE">
    <vt:lpwstr>20200311</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
  </property>
  <property fmtid="{D5CDD505-2E9C-101B-9397-08002B2CF9AE}" pid="66" name="PROCNUM">
    <vt:lpwstr/>
  </property>
  <property fmtid="{D5CDD505-2E9C-101B-9397-08002B2CF9AE}" pid="67" name="PROCYEAR">
    <vt:lpwstr/>
  </property>
  <property fmtid="{D5CDD505-2E9C-101B-9397-08002B2CF9AE}" pid="68" name="PSAKDIN">
    <vt:lpwstr>גזר-דין</vt:lpwstr>
  </property>
  <property fmtid="{D5CDD505-2E9C-101B-9397-08002B2CF9AE}" pid="69" name="TYPE">
    <vt:lpwstr>2</vt:lpwstr>
  </property>
  <property fmtid="{D5CDD505-2E9C-101B-9397-08002B2CF9AE}" pid="70" name="TYPE_ABS_DATE">
    <vt:lpwstr>390120200130</vt:lpwstr>
  </property>
  <property fmtid="{D5CDD505-2E9C-101B-9397-08002B2CF9AE}" pid="71" name="TYPE_N_DATE">
    <vt:lpwstr>39020200130</vt:lpwstr>
  </property>
  <property fmtid="{D5CDD505-2E9C-101B-9397-08002B2CF9AE}" pid="72" name="VOLUME">
    <vt:lpwstr/>
  </property>
  <property fmtid="{D5CDD505-2E9C-101B-9397-08002B2CF9AE}" pid="73" name="WORDNUMPAGES">
    <vt:lpwstr>11</vt:lpwstr>
  </property>
</Properties>
</file>