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0"/>
        <w:gridCol w:w="3668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19610-08-21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כרום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ע</w:t>
            </w:r>
            <w:r>
              <w:rPr>
                <w:rFonts w:cs="David" w:ascii="David" w:hAnsi="David"/>
                <w:sz w:val="20"/>
                <w:szCs w:val="20"/>
                <w:rtl w:val="true"/>
              </w:rPr>
              <w:t>"</w:t>
            </w:r>
            <w:r>
              <w:rPr>
                <w:rFonts w:ascii="David" w:hAnsi="David"/>
                <w:sz w:val="20"/>
                <w:sz w:val="20"/>
                <w:szCs w:val="20"/>
                <w:rtl w:val="true"/>
              </w:rPr>
              <w:t>י פרקליטות מחוז חיפה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סארך כרום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עאדל פלאח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אבר כרום</w:t>
            </w:r>
            <w:r>
              <w:rPr>
                <w:rFonts w:ascii="David" w:hAnsi="David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עורווה כרום</w:t>
            </w:r>
            <w:r>
              <w:rPr>
                <w:rFonts w:ascii="David" w:hAnsi="David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נאשמים </w:t>
            </w:r>
            <w:r>
              <w:rPr>
                <w:rFonts w:cs="David" w:ascii="David" w:hAnsi="David"/>
                <w:sz w:val="22"/>
                <w:szCs w:val="22"/>
              </w:rPr>
              <w:t>2-3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באסל פלאח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bookmarkStart w:id="9" w:name="PsakDin"/>
      <w:bookmarkEnd w:id="9"/>
      <w:r>
        <w:rPr>
          <w:rFonts w:cs="David" w:ascii="David" w:hAnsi="David"/>
          <w:b/>
          <w:bCs/>
          <w:sz w:val="28"/>
          <w:szCs w:val="28"/>
          <w:rtl w:val="true"/>
        </w:rPr>
        <w:t>(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בעניינו של נאשם מס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' </w:t>
      </w:r>
      <w:r>
        <w:rPr>
          <w:rFonts w:cs="David" w:ascii="David" w:hAnsi="David"/>
          <w:b/>
          <w:bCs/>
          <w:sz w:val="28"/>
          <w:szCs w:val="28"/>
        </w:rPr>
        <w:t>1</w:t>
      </w:r>
      <w:r>
        <w:rPr>
          <w:rFonts w:cs="David" w:ascii="David" w:hAnsi="David"/>
          <w:b/>
          <w:bCs/>
          <w:sz w:val="28"/>
          <w:szCs w:val="28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0" w:name="ABSTRACT_START"/>
      <w:bookmarkEnd w:id="10"/>
      <w:r>
        <w:rPr>
          <w:rFonts w:ascii="David" w:hAnsi="David"/>
          <w:rtl w:val="true"/>
        </w:rPr>
        <w:t>שלושת הנאשמים שלפניי הורשעו על פי הודאתם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העבירות אשר יפורטו להלן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u w:val="single"/>
          <w:rtl w:val="true"/>
        </w:rPr>
        <w:t>נאשם מס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"):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 של נשק ותחמושת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ירי באזור מגורים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6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תקיפה בנסיבות מחמירות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 זוג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+ </w:t>
      </w:r>
      <w:hyperlink r:id="rId18"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ואיומים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+ </w:t>
      </w:r>
      <w:hyperlink r:id="rId20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1" w:name="ABSTRACT_END"/>
      <w:bookmarkEnd w:id="11"/>
      <w:r>
        <w:rPr>
          <w:rFonts w:ascii="David" w:hAnsi="David"/>
          <w:u w:val="single"/>
          <w:rtl w:val="true"/>
        </w:rPr>
        <w:t>נאשם מס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"): </w:t>
      </w:r>
      <w:r>
        <w:rPr>
          <w:rFonts w:ascii="David" w:hAnsi="David"/>
          <w:rtl w:val="true"/>
        </w:rPr>
        <w:t xml:space="preserve">איומים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+ </w:t>
      </w:r>
      <w:hyperlink r:id="rId22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והחזקת סכין שלא למטרה כשרה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186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u w:val="single"/>
          <w:rtl w:val="true"/>
        </w:rPr>
        <w:t>נאשם מס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"): </w:t>
      </w:r>
      <w:r>
        <w:rPr>
          <w:rFonts w:ascii="David" w:hAnsi="David"/>
          <w:rtl w:val="true"/>
        </w:rPr>
        <w:t xml:space="preserve">איומים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+ </w:t>
      </w:r>
      <w:hyperlink r:id="rId25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סכין שלא למטרה כשרה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186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ושיבוש מהלכי משפט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שעיקרן יפורט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אביהם של שני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איבתסאם כרום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איבתסאם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היא גרושתו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ואמם של שני הנאשמים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בן דודו של תאופיק כרום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המתלונן הוא אביו של עינאד כרום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עינאד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 הנאשמים ומשפחת המתלונן התגוררו בבתים סמוכים בכפר ראמה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מחודש אפריל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למועד הרלוונטי לכתב האישום שררו יחסים מתוחים בין משפחת הנאשמים לבין משפחת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רקע חוב כספי של איבתסאם לעינאד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הסכסוך הכספי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הסכסוך הכספי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25.7.2021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הנאשמים ואיבתסאם אל כניסת 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כשנאשם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מחזיק מחוץ לביתו שלא למטרה כשרה בחרב גדולה בעלת להב באורך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החרב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 ונושא בידו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בעל מנגנון פעולה מסוג קולט בראונינג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ובתוכו מחסנית טעונה 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בכניסת 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 את איבתסאם בכך שדחף והכניס אותה בכוח אל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לברר עם משפחת המתלונן האם איבתסאם לוותה כספים מעינאד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ואיבתסאם נכנסו אל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כשבידו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האקדח ובידו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באמצעותם איימו בפגיעה בגופו של המתלונן בכוונה להפחידו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ניגשו אל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צעקו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ובינם לבין המתלונן התפתח ויכוח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במהלכו צעק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קילל אותו והורה לו קרוא לבנו עינאד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איבתסאם אשר חששה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החלה להימלט מהבית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אז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 אותה בכך שמשך בשערותיה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נתן לה מכת אגרוף בכתף ואיים עליה בכך שכיוון לעברה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נעמד לפני איבתסאם כדי להגן עליה ולמנוע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לירות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איבתסאם ברחה לתוך מטבחון בבית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והתחבאה שם יחד עם בני משפחת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במהלך אותו ויכוח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איים על המתלונן בכך שכיוון את האקדח לעברו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התקשר לנידאל כרום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אחיו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אשר הגיע והוציא את הנאשמים מבית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בכניסה לבית המתלונן וירה באמצעות האקדח לפחות ארבעה כדורים באוויר לכיוון הבתים הסמוכים לבית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מתגוררים אחיה של איבתסאם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להפחיד את המתלונן ומשפחתו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ובאופן שיש בו לסכן 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חזר אל בית המתלונן כשהוא מחזיק מחוץ לביתו בסכין גדולה שלא למטרה כשרה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הסכין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ניגש אל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עליו בפגיעה שלא כדין בגופו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להפחידו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שהניף את הסכין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והורה למתלונן למסור לידיו את מכשיר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DVR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בכוונה להעלים את המכשיר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למנוע או להכשיל הליך שיפוטי או להביא לעיוות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בהתאם להחלטותיי מיום </w:t>
      </w:r>
      <w:r>
        <w:rPr>
          <w:rFonts w:cs="David" w:ascii="David" w:hAnsi="David"/>
        </w:rPr>
        <w:t>2.12.2021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14.12.2021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נערכו תסקירים של שירות המבחן על אודות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25.1.2022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נאשם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זה חמש שנים 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ואב לשני בנים בגילאי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הם שני הנאשמים האחרים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משך השנים עבד בתחום מכונאות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 לגירושיו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לאחריהן נשמרו יחסים תקינים בינו לבין איבתסאם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בנוגע לעבירות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התרשם שירות המבחן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 לקחת אחריות על מעשיו וכי הוא טוען שמרבית עובדות כתב האישום אינן נכונות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בשיחה טלפונית שערך שירות המבחן עם איבתסאם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לאחר הגירושין היא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התגוררו בסמיכות וניהלו יחסים תקינים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המאופיינים בכבוד הדדי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זאת שיתפה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ברכושנות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איבתסאם תארה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דפוסים אלימים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המשמש אב טוב לילדיו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תארה איבתסאם כי נאשם זה מעולם לא הפעיל אלימות כלפיה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 באירוע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ולתחושתה נעשה לו עוול בהליך המשפטי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יצויין כי שירות המבחן התרשם מהיעדר אותנטיות בדברי איבתסאם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יכול ובשל רצונה לגונן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יוער כי המעשים והרקע לביצועם אשר צוינו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לדבריהם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ואיבתסאם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שונים מאלו המופיעים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בהם הודה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שירות המבחן העריך כי ברקע לביצוע העבירות מושא ענייננו עומד הצורך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בשליטה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רב לווסת 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אימפולסיביות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מיומנויות בינאישיות נמוכות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היעדר בשלות רגשית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התרשם שירות המבחן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נוטל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מתקשה לערוך התבוננות בדפוסי התנהגותו ונוטה לעמדה קורבנית ולהשלכתיות כלפי הנפגעים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קיימת רמת סיכון גבוהה להישנות עבירות אלימות ברמת חומרה גבוהה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רמת סיכון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ומחמת היעדר חיבור מצד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להתנהלותו הבעייתית ולחומרת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שירות המבחן בהמלצה טיפולית שיהא בה להפחית את הסיכון להישנות התנהגות פורצת חוק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22.2.2022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שנערך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נאשם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בכלל זה צויין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קודם האירועים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גירושי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ואחיו נותרו להתגורר עם אמם בבית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התגורר ביחידת דיור מעל בית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האם עזבה את הבית ומתגוררת בגפה בדירה שכורה בכפר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ובעל תעודת בגרות חלקית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מצוין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בנוגע לעבירות שבענייננו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 לקבל אחריות מלאה בנוגע  למיוחס לו בכתב האישום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ניסה לצמצמם ולטשטש מחומרת 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והסביר כי פעל בלא מחשבה מעמיקה על תוצאות מעשיו ומתוך תחושת לחץ שחווה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כי התנהגות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מבטאת קשיים ניכרים בעריכת שיקול דעת מווסת ואחראי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העריך שירות המבחן כי בבסיס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דפוסים של חוסר שליטה בדחפים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עמדה המתירה החזקת נשק כחלק מתפיסת עולם גברית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כי לאחר שנתפס הבין כי מדובר בעבירה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וכיום הוא מתחרט על מעורבותו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בהערכת גורמי הסיכוי לשיקום אל מול גורמי הסיכון להישנות התנהלות מפרת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 לנגד עיני שירות המבחן פרמטרים המעידים כי קיים סיכון להישנות התנהגות שכזו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חוסר בהכרה מספקת בקשייו ההתנהגותיים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באים לידי ביטוי גם בעמדה קורבנית והגנתית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 לערוך התבוננות פנימית מעמיקה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הוא יודע להצביע על הצורך בשינוי דפוסי התנהלותו בתחומי החיים השונים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ציין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 בעיקר בנזק שעלול להיגרם לו כתוצאה מהעונש שעתיד להיגזר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כי הפרוגנוזה לשינוי בעת הזו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אינו רואה בהליך טיפולי במסגרת שירות המבחן אמצעי אשר יביא להפחתת הסיכון להישנות התנהגות עוברת חוק מצד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22.2.2022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שנערך 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ובעל תעודת בגרות חלקית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סיום 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לעבוד בעבודות מזדמנות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מפורט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אחריות חלקית בנוגע למיוחס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מפגין גישה 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להתחבר לבעייתיות שבהתנהגותו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ונטייה להשליך את האחריות על התנהלותם של אביו ושל עינאד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 תחושת חוסר אונים וחרדה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ברקע להתנהגותו המתוארת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הבין כי אביו ויתר בני המשפחה מתעמתים עם עינאד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מהשיחה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התנהגותו במעשי העבירה מבטאת קושי ניכר בעריכת שיקול דעת אחראי ומווסת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העריך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בבסיס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דפוסי חוסר שליטה בדחפים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עמדות ותפיסות ערכיות לא בשלות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המאפשרות החזקה של סכין כחלק מתפיסת עולם גברית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 שירות המבחן להעריך את גורמי הסיכוי למול גורמי הסיכון להישנות התנהלות מפרת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 לנגד עיניו פרמטרים המעידים על סיכון להישנות התנהגות זו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חוסר הכרה מספקת בקשייו ההתנהגותיים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באים לידי ביטוי בעמדה 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והתרשמות כי נאשם זה ממוקד בעיקר בנזק העלול להיגרם לו כתוצאה מהעונש אשר יושת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שירות המבחן כי הפרוגנוזה לשינוי בעת הזו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ראה בהליך טיפולי במסגרת שירות המבחן אמצעי אשר יביא להפחתת הסיכון להישנות התנהגות עוברת חוק מצד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שהתקיים לפניי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הגישה טיעונים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השלימה טיעוניה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טיעוניה עמדה המאשימה על תופעת החזקת 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נגזרות עבירות האלימות המבוצעות באמצעות נשק ואשר רבו בשנים האחרונות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להילחם בתופעה זו באמצעות ענישה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טענה אף כי נשיאת נשק ללא היתר מהווה סכנה ממשית שמא הנשק יגיע לידיים לא זהירות דוגמת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בחר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יכול היה לגרום לנזק חמור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הערך החברתי המוגן שנפגע כתוצאה מעבירת הנשק הוא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הגנה על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מחמת תקיפת איבתסאם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גם הערך החברתי של שמירה על בריאותה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כולם פגעו בבטחונם האישי ובשלוות חייהם של המתלונן ובני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פגע בעבודת המשטרה ובאפשרות לערוך משפט צדק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טענה כי לביצוע העבירה קדם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הצטיידות בנשק ובסכינים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 בוצעו על רקע סכסוך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והנאשמים בחרו באופן מודע להגיע אל 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חומרה מיוחדת לפי המאשימה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האירוע כולו אירע בתוך המשפחה ותוך ניצול של הנאשמים את מעמדם אל מול איבתסאם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הנאשמים היו דומיננטיים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הסכנות הטמונות בשימוש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על ידי מי אשר אינו מיומן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ברורות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הנאשמים בגירים וביכולתם להבין את מעשיהם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 שעניינם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לעמוד על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עמדה המאשימה בגדרי טיעוניה לעונש על כי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כשלחובתו הרשעה משנת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החזקת סכין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ריצה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הביאה בחשבון לעניין גזירת העונש גם את הודאת הנאשמים במיוחס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המאשימה הפנתה לאמור בתסקירים בנוגע לכל אחד מהנאשמים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לנתונים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כי 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ייקבע מתחם הנע בין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יושת עליו עונש באמצע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כי ייקבע מתחם הנע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עונשם ימוקם במחצית התחתונה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כי יושת על הנאשמים כולם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הסנגורים הגישו גם הם טיעונים בכתב בנוגע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השלימו טיעוניהם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בגדרי הטיעונים בכתב נטען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 בלא לחשוב על הדברים לעומקם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להט והתגרות יתר ומבלי לחשוב על תוצאות 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כיום הוא מבין את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מתחרט עליהם ומנסה לשקם את חייו ואת תדמיתו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הודאתו מגלמת נטילת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הביאה לחיסכון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בענייננו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נפגע אדם ולא רכוש</w:t>
      </w:r>
      <w:r>
        <w:rPr>
          <w:rFonts w:cs="David" w:ascii="David" w:hAnsi="David"/>
          <w:rtl w:val="true"/>
        </w:rPr>
        <w:t xml:space="preserve">...", </w:t>
      </w:r>
      <w:r>
        <w:rPr>
          <w:rFonts w:ascii="David" w:hAnsi="David"/>
          <w:rtl w:val="true"/>
        </w:rPr>
        <w:t>וכי מידת הפגיעה בערכים המוגנים היא ברמה בינונית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נמוכה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עתרו הסנגורים שלא למצות את הדין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ולהסתפק בענישה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לעונש מאסר בפועל שירוצה בעבודות שירות ובענישה התואמת את הפסיקה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בשים לב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גילו הצעיר של 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להודאה המוקדמת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לקבלת האחריות ולהבעת 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להבנת 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עברו הנקי של 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לעובדה כי מאסר ממושך בפועל עלול לפגוע קשות בסיכויים להשתקם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בטיעוניהם בכתב הפנו הסנגורים לעשרות פסקי דין שעניינם עבירות נשק 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מפי הסנגורים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למעט העבירה של תקיפה סתם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ננקטה אלימות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בוצע שימוש בסכינים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בנשק לא בוצע כל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לתום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רק לאחר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 מבית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ירי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שמטרת ההגעה אל בית המתלונן לא הייתה לשם פגיעה במי מהנוכחים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כדי לאיים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לאבחן את מי מפסקי הדין עליהם המאשימה מבקשת להסתמך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הגיעו לפגוע באנשים ממש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עדיין נותר עמום בפנינו מה הוביל אותם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את הנאשמים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למעשה עצמו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וכי הדבר פועל לזכותם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הלכו אחרי אביהם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והדבר מהווה נסיבה מקלה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מאז בוצעה העבירה ועד היום חל שינוי ביחסים בין בני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נערכה סולחה ואמם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חזרה כדי לטפל בשני הילדים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אנשים נורמטיביים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נטולי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 אחת שהתיישנה בגין החזקת סכין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הרף התחתון במתחמי הענישה 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זו שהוגשה על ידי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לבחון האם יש למקם את 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באמצע המתחם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כעתירת המאשימה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הודגש כי בעקבות הירי באוויר לא נפגע מי מהבתים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 לא יוחסה עבירה של גרימת נזק בזדון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יוחסו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מעיד על כי במהלך האירוע עצמו הם לא ידעו על קיומו של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כי לא היה שימוש מאסיבי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חזרו והדגישו הסנגורים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לראשונה בחייו הוא עצור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אשר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המאשימה לא תמכה את מתחם העונש לו היא עתרה בפסיקה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בהיות עבירת האיומים ברף הנמוך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בהינתן העובדה שלא נעשה שימוש בסכינים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לאור הגיל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 כי היו נתונים משך תקופה ארוכה במעצר בית ללא חלון התאווררות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בהיות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אחד ממפרנסי המשפחה קודם האירוע והפגיעה הכלכלית עקב אי יכולתו לעבוד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נטען כי המתחם צריך לנוע בין מאסר מותנה ועד מספר מועט של 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להסתפק בענייננו בהשתת מאסר 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יובאו דבריהם של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תחילה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שאמר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מצטער על מה שהיה ומה שעשיתי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שתעזור לי כמה שאפשר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פגעתי גם בעצמי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במשפחה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לא הדרך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מצטער על מה שעשיתי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מכבודו שיעזור לי להשתקם ולחזור לחיים שלי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דבריו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שנרשמו בפרוטוקול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 כדלקמן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אני מבקש מאדוני שיעזור לי אני מאוד מתנצל על מה שהיה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מבקש לעזור לי לחזור לחיים נורמטיביים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מאז האירוע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אנחנו במעצר בית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הגענו עד פת לחם ועולמי חרב עליי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לאחר האירוע אמא שלי חזרה הביתה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מצטער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עוד תאר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תקופת מעצר הבית בה היה נתון 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למשך מספר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בעראבה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 אמצעים כלכליים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לבסוף אמר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זו לא דרך החיים שלי אני מצטער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האירוע הייתי אמור להתחיל לימודים ומאז הכל 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חרב עולמי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יכול לחרוג ממתחם העונש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הנאשמים שלפניי הודו בביצוע מספר 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לכל אחד מהם יוחסו עבירות 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העבירות נעברו ברצף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בזה אחר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כלל העבירות הן חלק ממסכת עבריינית אחת והן מקיימות ביניהן קשר הדוק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בענייננו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ויוער כי לא נטען אחרת מפי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 עבירות נשק לרבות 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יוחסו עבירות של החזקת סכין שלא כדין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יוחסה בנוסף גם עבירה של 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 יש לעמוד תחילה על הערכים החברתיים אשר נפגעו כתוצאה מביצוע העבירות דלעיל על ידי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בעבירות הנשק המיוחסות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גלומה פגיעה לא מבוטלת בערכים חברתיים ראשונים במעלה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הגנה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בנשיאת הנשק ובהובלתו טמונה סכנה ממשית שמא יבוצע בו שימוש העלול לגרום לנזק 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 וחומר שעה שבאקדח מחסנית טעונה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דין בפרשה אחרת נזדמן לי לכתוב לא מכבר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בהשאלה מעולם הספרות והמחזות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אקדח המופיע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סופו לירות במערכה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לא רחק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ובאותה המערכה ממש בה הופיע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נעשה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מתעצמת הסכנה שמא ייארע נזק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 עד כדי קיפוח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נכון הדבר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הירי בוצע באוויר לכיוון הבתים הסמוכים לבית המתלונן ובמטרה להפחיד את המתלונן ואת בני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ירי בשטח מבונה לכשעצמו יוצר סכנה לסובבים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נקל לשער סיומת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בגדריה כדור תועה היה גורם לנזק של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בכל הנוגע לתקיפתה של איבתסאם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משיכה בשיער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אגרוף בכתף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והההתנהלות כלפיה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שמעשים אלו כוונו כלפי מי שהייתה רעייתו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אם ילדיו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גם לאחר הגירושין כמתואר בתסקיר מפי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נותרו היחסים תקינים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מעין אלו המבוצעות במארג המשפחתי פנימה יש לראות בחומרה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 בערכים המוגנים של הגנה על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הביטחון האישי ובתחושת שלוות הנפש של איבתסאם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העבירות המיוחסות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מצויות במדרג חומרה נמוך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בהן יש כדי לפגוע בערכים מוגנים של הגנה על הגוף ועל שלוות הנפש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נאשמים אלו היו מצוידים האחד בחרב והאחר בסכין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באמצעותם איימו בפגיעה בגופו של המתלונן על מנת להפחידו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הורה למתלונן למסור לידיו את מכשיר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DVR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ובכך עבר עבירה של שיבוש מהלכי משפט אשר יש בה לפגוע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לא פעם על החומרה הגלומה בעבירות הנשק ועל הצורך בהחמרת הענישה כלפי מי שמבצע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בפסק הדין שניתן לא מכבר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1695/22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29.3.2022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ושמאיימות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..."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בהמשך אותה פסקה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b/>
          <w:b/>
          <w:bCs/>
          <w:rtl w:val="true"/>
        </w:rPr>
        <w:t>משכך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4439/19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ביישובי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וביישובים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2018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  <w:t>...</w:t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צמח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20.8.2009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להוציא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ליתן הדעת </w:t>
      </w:r>
      <w:r>
        <w:rPr>
          <w:rFonts w:ascii="David" w:hAnsi="David"/>
          <w:b/>
          <w:b/>
          <w:bCs/>
          <w:rtl w:val="true"/>
        </w:rPr>
        <w:t>למדיניות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וכמצוין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הדגישה את הצורך בהשתת ענישה מחמירה ומרתיעה כלפי מבצעי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שמנעד הענישה רחב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אחד מן הצדדים הפנה לשורה ארוכה של פסקי דין הנוגעים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בהם לטענתו לתמוך בעמדתו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לסקירה המבטאת את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יש להקיש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בין היתר על יסודה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העונש ההולם במקרה דנן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בסקירה זו אכלול התייחסות לחלק מפסקי הדין אליהם הפנו באי כוח הצדדים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המשיב הורשע על פי הודאתו בעבירות שיוחסו לו בכתב אישום מתוקן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נשיאת נשק וירי מנשק חם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למקום במחנה פליטים 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 לאולם אירועים בו התקיימה חתונה אותה העת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ששוחח עם שניים אחרים שהחזיקו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הוציא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וירה מספר 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 נוכח חומרת העבירות בהן הורשע ובכך שלא פעל להסגרת הנשק לידי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 המאסר בפועל על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5330/20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22.11.2020</w:t>
      </w:r>
      <w:r>
        <w:rPr>
          <w:rtl w:val="true"/>
        </w:rPr>
        <w:t xml:space="preserve">) -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 xml:space="preserve">) -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)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/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9396-03-21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5.10.2021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tl w:val="true"/>
        </w:rPr>
        <w:t xml:space="preserve">) 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56739-09-20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גדיפי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6.5.2021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50986-12-16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9.11.2017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),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13785-04-15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6.4.2016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FN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איבתסאם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11.4.2021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שמאיב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1.11.2009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1307-05-16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17.8.2016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5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31479-06-15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15.11.2015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כשמתנדב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וכשנאשם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איבתסאם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משהחלה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איבתסאם להימלט מן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משך בשערותיה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אותה במכת אגרוף בכתפה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איים עליה באמצעות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כלפי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איימו בפגיעה בגופו באמצעות האקדח שבידו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והחרב שבידו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כיוון את האקדח לעבר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שהנאשמים הוצאו מבית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בכניסה לבית וירה מספר כדורים באוויר לכיוון הבתים הסמוכים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מתגוררים אחיה של איבתסאם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 אל הבית ובהניפו סכין אל עבר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לו למסור לידיו את מכשיר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DVR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מדובר בשורה של מעשים חמורים אשר פוטנציאל הנזק הטמון בהם הוא רב עד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נשיאת אקדח מוכן לפעולה מהווה כשלעצמה סכנה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בעת נשיאתו ביד בהגיע הנאשמים לבית אשר עם יושביו קיים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אם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התכוון לעשות שימוש באקדח כדי לגרום לנזק 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וכנראה כך 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לא ירה באקדח בתוך בית המתלונן או בעודו מכוון את האקדח לעבר מאן דהוא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שעצם קיומו של אקדח בזירת אירוע כה נפיצה ואיומים באמצעותו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מהווים סכנה שמא ייארע נזק מסוג זה בעת שימוש באקדח על ידי הנאשם או על ידי אחר בזירה היה והאירוע יסלים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אף שלא במתכוון עת מי מהנוכחים ינסה להשתלט על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שעל מנת להפחיד את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ירי באוויר בכניסה לבית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אלא מאי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ירי באזור מגורים טומן בחובו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אינהרנטי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סכנה מוגברת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קל וחומר כאשר הדבר נעשה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בתים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כי מידת הסיכון לגרימת נזק היא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שבסופו של דבר פוטנציאל הנזק לא התממש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אינו כולל כל פירוט על כי ארע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 הקטן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לרכוש או לגוף כתוצאה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תקיפתו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איבתסאם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שעוצמת האלימות שהופעלה כלפיה הייתה לא מבוטלת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הותירה בה נזק גוף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נתון זה יש להביא בחשבון בעת קביעת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נטלו אף הם חלק פעיל באיומים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חומרת מעשיהם פחותה לאין ערוך ממעשיו של אביהם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האיומים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בוצעו באמצעות חרב וסכין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אמצעים אלו יכולים להפוך קטלניים היה והאירוע יסלים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ייערך בהם שימוש על ידי הנאשמים במכוון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בשעה שינסו להוציא מידיהם את החרב והסכין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בכל דרך אפשרית אחרת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ביקש להעלים את סרטוני הוידאו שנשמרו במכשיר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DVR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בעניינם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להביא בחשבון כי פוטנציאל הפגיעה בגוף לא התממש בסופו של דבר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נמצא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מתחם העונש ההולם את מעשיהם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 בין מספר מצומצם של 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במקרים המתאימים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אפשר וירוצו בעבודות 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מתקיימים שיקולים אשר יצדיקו לסטות מן המתחמים שזה עתה 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 ולאמור בתסקירים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בנקודה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בשים לב למתחם שנקבע לגבי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מנת שתונח לפניי התמונה המלאה בטרם ייגזר דינם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שיהיה בדבר משום קביעת מסמרות או התחייבות באשר לעונש המתאים לכל אחד מנאשמים אלה בתוך מתחם העונש ההולם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להפסיק כאן את מלאכת גזירת דינם ולהורות על הגשת חוות דעת של הממונה על עבודות שירות אודותיהם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קבלת חוות דעת 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שתהיה בכך כל התחייבות באשר לעונש שיוטל על כל אחד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שיהיה בכך משום יצירת צפייה או הסתמכות של מי מנאשמים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תושלם מלאכת גזירת הדין על ידי קביעת העונש המתאים לנאשמים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 המתחם דלעיל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אסיים לגזור דינם של נאשמים אלה כעת והמשך הדיון בעניינם יידחה למועד קרוב לצורך הגשת חוות דעת הממונה והשלמת המלאכה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דיני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ייגזר אפוא דינו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אשר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להלן לקבוע את העונש המתאים לו בגבולות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 אשר 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5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העונש המתאים לנאשם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משקל נכבד יש ליתן בהקשר זה להודאתו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בלא שזה 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הודאת הנאשם ניתנה בשלביו המוקדמים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הביאה לחיסכון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ובהעדת שורה של 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איבתסאם והמתלונן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אני ער לאמור בתסקיר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הלה טען שמרבית עובדות כתב האישום אינן נכונות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מסר הוא באזני שירות המבחן נסיבות אחרות לביצוע העבירות אשר שונות מן האמור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בפתח הדיון האחרון שהתקיים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בישיבה אשר נקבעה לשמיעת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הבהיר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הוא לא חוזר בו מן ההודאה שנתן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הייתה אי הבנה שם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עוד יש להביא בחשבון את הבעת החרטה מצדו של נאשם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שבתסקיר צוין כי הוא מתקשה לקחת אחריות על מעשיו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ואת הבנתו כי פגע גם במשפחתו ובילדיו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בכלל זה יש ליתן הדעת להשפעה האפשרית של עונש המאסר אשר ייגזר 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על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בפן הכלכלי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ובמיוחד על בניו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בנוסף אציין כי אני ער לטענת הסנגורים בדבר סולחה שנערכה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בעטיה איבתסאם חזרה להתגורר יחד עם בניה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הובאה לפניי כל ראייה לתמוך בטענה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יש להביא בחשבון גם את עברו הפלילי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אינו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גיליון הרשעותיו הקודמות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מלמד על כי בעברו הרשעה אחת משנת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בפסק דין של בית משפט השלום בטבריה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ביצוע עבירה של החזקת אגרופן או סכין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נגזר עונש מאסר בפועל בן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בשקלול הנתונים דלעיל אשר ברובם יש לפעול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יש למקם את עונש מאסרו בפועל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בצד ענישה משמעותית צופה פני 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ענישה משולבת זו יהא בה להגשים את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אף תביא להרתעתם של העבריינים הפוטנציאליים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יעברו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 גם להרתעתו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כולי תקווה כי יפחת הסיכון עליו עמד שירות המבחן בתסקיר להישנות עבירות אלימות מצד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שיתאפשר לו לשוב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ריצוי תקופת מאסר ממושכת בת חודשים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דרך הישר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סוף דבר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אני גוזר על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עשרים ושבעה 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יימנו החל ממעצרו ביום </w:t>
      </w:r>
      <w:r>
        <w:rPr>
          <w:rFonts w:cs="David" w:ascii="David" w:hAnsi="David"/>
          <w:b/>
          <w:bCs/>
        </w:rPr>
        <w:t>27.7.2021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שניים עשר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או אלימות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שמונה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או אלימות מסוג עוון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עבירה של תקיפת בת זוג או עבירת איומים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פיצוי בסך של </w:t>
      </w:r>
      <w:r>
        <w:rPr>
          <w:rFonts w:cs="David" w:ascii="David" w:hAnsi="David"/>
          <w:b/>
          <w:bCs/>
        </w:rPr>
        <w:t>2,000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למתלונן ופיצוי בסך של </w:t>
      </w:r>
      <w:r>
        <w:rPr>
          <w:rFonts w:cs="David" w:ascii="David" w:hAnsi="David"/>
          <w:b/>
          <w:bCs/>
        </w:rPr>
        <w:t>2,000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לאיבתסאם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ישולמו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של </w:t>
      </w:r>
      <w:r>
        <w:rPr>
          <w:rFonts w:cs="David" w:ascii="David" w:hAnsi="David"/>
          <w:b/>
          <w:bCs/>
        </w:rPr>
        <w:t>2,000</w:t>
      </w:r>
      <w:r>
        <w:rPr>
          <w:rFonts w:cs="David" w:ascii="David" w:hAnsi="David"/>
          <w:b/>
          <w:bCs/>
          <w:rtl w:val="true"/>
        </w:rPr>
        <w:t xml:space="preserve"> ₪,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 xml:space="preserve">אשר לאופן תשלום הפיצוי והקנס שנפסקו לחובת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למועדים שנקבעו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הפיצוי והקנס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52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bidi w:val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  <w:t xml:space="preserve">   </w:t>
      </w:r>
      <w:r>
        <w:rPr>
          <w:rFonts w:cs="Arial" w:ascii="Arial" w:hAnsi="Arial"/>
          <w:b/>
          <w:bCs/>
          <w:sz w:val="26"/>
          <w:szCs w:val="26"/>
        </w:rPr>
        <w:tab/>
        <w:tab/>
        <w:tab/>
        <w:tab/>
        <w:tab/>
      </w:r>
    </w:p>
    <w:p>
      <w:pPr>
        <w:pStyle w:val="Normal"/>
        <w:bidi w:val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19610-08-21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סארך כרום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40.a.b.2" TargetMode="External"/><Relationship Id="rId10" Type="http://schemas.openxmlformats.org/officeDocument/2006/relationships/hyperlink" Target="http://www.nevo.co.il/law/70301/340a.b.1." TargetMode="External"/><Relationship Id="rId11" Type="http://schemas.openxmlformats.org/officeDocument/2006/relationships/hyperlink" Target="http://www.nevo.co.il/law/70301/379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0a.b.1.;340.a.b.2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b.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86.a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86.a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case/28384637" TargetMode="External"/><Relationship Id="rId29" Type="http://schemas.openxmlformats.org/officeDocument/2006/relationships/hyperlink" Target="http://www.nevo.co.il/case/25824897" TargetMode="External"/><Relationship Id="rId30" Type="http://schemas.openxmlformats.org/officeDocument/2006/relationships/hyperlink" Target="http://www.nevo.co.il/case/25612982" TargetMode="External"/><Relationship Id="rId31" Type="http://schemas.openxmlformats.org/officeDocument/2006/relationships/hyperlink" Target="http://www.nevo.co.il/case/6072890" TargetMode="External"/><Relationship Id="rId32" Type="http://schemas.openxmlformats.org/officeDocument/2006/relationships/hyperlink" Target="http://www.nevo.co.il/case/27915710" TargetMode="External"/><Relationship Id="rId33" Type="http://schemas.openxmlformats.org/officeDocument/2006/relationships/hyperlink" Target="http://www.nevo.co.il/case/27716369" TargetMode="External"/><Relationship Id="rId34" Type="http://schemas.openxmlformats.org/officeDocument/2006/relationships/hyperlink" Target="http://www.nevo.co.il/case/26383419" TargetMode="External"/><Relationship Id="rId35" Type="http://schemas.openxmlformats.org/officeDocument/2006/relationships/hyperlink" Target="http://www.nevo.co.il/case/26888657" TargetMode="External"/><Relationship Id="rId36" Type="http://schemas.openxmlformats.org/officeDocument/2006/relationships/hyperlink" Target="http://www.nevo.co.il/case/26492590" TargetMode="External"/><Relationship Id="rId37" Type="http://schemas.openxmlformats.org/officeDocument/2006/relationships/hyperlink" Target="http://www.nevo.co.il/case/22006503" TargetMode="External"/><Relationship Id="rId38" Type="http://schemas.openxmlformats.org/officeDocument/2006/relationships/hyperlink" Target="http://www.nevo.co.il/case/21474168" TargetMode="External"/><Relationship Id="rId39" Type="http://schemas.openxmlformats.org/officeDocument/2006/relationships/hyperlink" Target="http://www.nevo.co.il/case/27802038" TargetMode="External"/><Relationship Id="rId40" Type="http://schemas.openxmlformats.org/officeDocument/2006/relationships/hyperlink" Target="http://www.nevo.co.il/case/27447722" TargetMode="External"/><Relationship Id="rId41" Type="http://schemas.openxmlformats.org/officeDocument/2006/relationships/hyperlink" Target="http://www.nevo.co.il/case/27030646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case/21824922" TargetMode="External"/><Relationship Id="rId44" Type="http://schemas.openxmlformats.org/officeDocument/2006/relationships/hyperlink" Target="http://www.nevo.co.il/case/20180302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case/27517512" TargetMode="External"/><Relationship Id="rId47" Type="http://schemas.openxmlformats.org/officeDocument/2006/relationships/hyperlink" Target="http://www.nevo.co.il/case/20533372" TargetMode="External"/><Relationship Id="rId48" Type="http://schemas.openxmlformats.org/officeDocument/2006/relationships/hyperlink" Target="http://www.nevo.co.il/case/6043779" TargetMode="External"/><Relationship Id="rId49" Type="http://schemas.openxmlformats.org/officeDocument/2006/relationships/hyperlink" Target="http://www.nevo.co.il/case/21676725" TargetMode="External"/><Relationship Id="rId50" Type="http://schemas.openxmlformats.org/officeDocument/2006/relationships/hyperlink" Target="http://www.nevo.co.il/case/20354740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eca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2023-09-28T10:38:00Z</dcterms:created>
  <dc:creator> </dc:creator>
  <dc:description/>
  <cp:keywords/>
  <dc:language>en-IL</dc:language>
  <cp:lastModifiedBy>h1</cp:lastModifiedBy>
  <dcterms:modified xsi:type="dcterms:W3CDTF">2023-09-28T10:38:00Z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סארך כרום;ג'אבר כרום;עורווה כרום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28384637;25824897;25612982;6072890;27915710;27716369;26383419;26888657;26492590;22006503;21474168;27802038;27447722;27030646;21824922;20180302;27517512;20533372;6043779;21676725;20354740</vt:lpwstr>
  </property>
  <property fmtid="{D5CDD505-2E9C-101B-9397-08002B2CF9AE}" pid="9" name="CITY">
    <vt:lpwstr>חי'</vt:lpwstr>
  </property>
  <property fmtid="{D5CDD505-2E9C-101B-9397-08002B2CF9AE}" pid="10" name="DATE">
    <vt:lpwstr>20220630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70301/144.b:2;340a.b.1;340.a.b.2;379;382.b.1;192:3;029:3;186.a:2;244;144.a;40ja</vt:lpwstr>
  </property>
  <property fmtid="{D5CDD505-2E9C-101B-9397-08002B2CF9AE}" pid="15" name="LAWYER">
    <vt:lpwstr>עאדל פלאח;באסל פלאח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19610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390020220630</vt:lpwstr>
  </property>
  <property fmtid="{D5CDD505-2E9C-101B-9397-08002B2CF9AE}" pid="34" name="TYPE_N_DATE">
    <vt:lpwstr>39020220630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