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19620-11-14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לשכת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שמואלי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המייחס לו ביצוע עבירה של פציעה בנסיבות מחמירות לפי </w:t>
      </w:r>
      <w:r>
        <w:rPr>
          <w:rFonts w:ascii="Arial" w:hAnsi="Arial" w:cs="Arial"/>
          <w:color w:val="000000"/>
          <w:rtl w:val="true"/>
        </w:rPr>
        <w:t xml:space="preserve">סעיפים </w:t>
      </w:r>
      <w:hyperlink r:id="rId5">
        <w:r>
          <w:rPr>
            <w:rStyle w:val="Hyperlink"/>
            <w:rFonts w:cs="Arial" w:ascii="Arial" w:hAnsi="Arial"/>
            <w:color w:val="0000FF"/>
            <w:u w:val="single"/>
          </w:rPr>
          <w:t>334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הינו בנה של </w:t>
      </w:r>
      <w:r>
        <w:rPr>
          <w:rFonts w:ascii="Arial" w:hAnsi="Arial" w:cs="Arial"/>
          <w:rtl w:val="true"/>
        </w:rPr>
        <w:t xml:space="preserve">פלונית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פלונית 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פלונית </w:t>
      </w:r>
      <w:r>
        <w:rPr>
          <w:rFonts w:ascii="Arial" w:hAnsi="Arial" w:cs="Arial"/>
          <w:rtl w:val="true"/>
        </w:rPr>
        <w:t xml:space="preserve"> התגוררה יחד עם בעלה בבית בתחומי העיר רמלה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וארבעת ילדיהם המשותפים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התגלע ויכוח בין הנאשם לבין </w:t>
      </w:r>
      <w:r>
        <w:rPr>
          <w:rFonts w:ascii="Arial" w:hAnsi="Arial" w:cs="Arial"/>
          <w:rtl w:val="true"/>
        </w:rPr>
        <w:t xml:space="preserve">פלונית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הנאשם למטבח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לידיו סכין שטיבה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ודקר באמצעותה את </w:t>
      </w:r>
      <w:r>
        <w:rPr>
          <w:rFonts w:ascii="Arial" w:hAnsi="Arial" w:cs="Arial"/>
          <w:rtl w:val="true"/>
        </w:rPr>
        <w:t xml:space="preserve">פלונית </w:t>
      </w:r>
      <w:r>
        <w:rPr>
          <w:rFonts w:ascii="Arial" w:hAnsi="Arial" w:cs="Arial"/>
          <w:rtl w:val="true"/>
        </w:rPr>
        <w:t xml:space="preserve"> שבע דקירות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שתי דקירות במותן שמאל בקו אזילר קדמי ואחורי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דקירות בגב שמאלי אמצעי ותחתון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חתכים עמוקים בזרוע שמאל ופצע דקירה קרוב למרפק שמאלי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פונתה </w:t>
      </w:r>
      <w:r>
        <w:rPr>
          <w:rFonts w:ascii="Arial" w:hAnsi="Arial" w:cs="Arial"/>
          <w:rtl w:val="true"/>
        </w:rPr>
        <w:t xml:space="preserve">פלונית </w:t>
      </w:r>
      <w:r>
        <w:rPr>
          <w:rFonts w:ascii="Arial" w:hAnsi="Arial" w:cs="Arial"/>
          <w:rtl w:val="true"/>
        </w:rPr>
        <w:t xml:space="preserve"> לבית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אסף הרופא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בית החולים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ידי בעלה והנאשם לצורך קבלת טיפול רפואי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מצדו </w:t>
      </w:r>
      <w:r>
        <w:rPr>
          <w:rFonts w:ascii="Calibri" w:hAnsi="Calibri" w:cs="Calibri"/>
          <w:rtl w:val="true"/>
        </w:rPr>
        <w:t>לעבד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פלונית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פלונית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במשטרה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 ההליך 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הגשת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זימונה</w:t>
      </w:r>
      <w:r>
        <w:rPr>
          <w:rFonts w:ascii="Calibri" w:hAnsi="Calibri" w:cs="Calibri"/>
          <w:rtl w:val="true"/>
        </w:rPr>
        <w:t xml:space="preserve"> כעדה מטעמה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נכללה </w:t>
      </w:r>
      <w:r>
        <w:rPr>
          <w:rFonts w:ascii="Calibri" w:hAnsi="Calibri" w:cs="Calibri"/>
          <w:rtl w:val="true"/>
        </w:rPr>
        <w:t>ברשימת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פלונית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דווקא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וניסתה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מההרשעה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לעונש לעניין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פלוני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סאלח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המסעדנות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ראשי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הטבחות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פי דברי </w:t>
      </w:r>
      <w:r>
        <w:rPr>
          <w:rFonts w:ascii="Calibri" w:hAnsi="Calibri" w:cs="Calibri"/>
          <w:rtl w:val="true"/>
        </w:rPr>
        <w:t>סאלח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מנת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</w:t>
      </w:r>
      <w:r>
        <w:rPr>
          <w:rFonts w:ascii="Calibri" w:hAnsi="Calibri" w:cs="Calibri"/>
          <w:rtl w:val="true"/>
        </w:rPr>
        <w:t>ּ</w:t>
      </w:r>
      <w:r>
        <w:rPr>
          <w:rFonts w:ascii="Calibri" w:hAnsi="Calibri" w:cs="Calibri"/>
          <w:rtl w:val="true"/>
        </w:rPr>
        <w:t>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הפשיעה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הקלה בעונשו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7378/13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חרובי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31.10.2013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בדרך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והתחייבות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כספית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4573/11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לפידית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5.9.2011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בצווארו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באוזנו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לריצוי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u w:val="single"/>
          <w:rtl w:val="true"/>
        </w:rPr>
        <w:t xml:space="preserve">, 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</w:t>
      </w:r>
      <w:r>
        <w:rPr>
          <w:rFonts w:ascii="Calibri" w:hAnsi="Calibri" w:cs="Calibri"/>
          <w:u w:val="single"/>
          <w:rtl w:val="true"/>
        </w:rPr>
        <w:t>ת</w:t>
      </w:r>
      <w:r>
        <w:rPr>
          <w:rFonts w:ascii="Calibri" w:hAnsi="Calibri" w:cs="Calibri"/>
          <w:u w:val="single"/>
          <w:rtl w:val="true"/>
        </w:rPr>
        <w:t>לונן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15,000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שהג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5794/13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2.4.2014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עקב </w:t>
      </w:r>
      <w:r>
        <w:rPr>
          <w:rFonts w:ascii="Calibri" w:hAnsi="Calibri" w:cs="Calibri"/>
          <w:rtl w:val="true"/>
        </w:rPr>
        <w:t>הדקירות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כירורגי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למתלונן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1,500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קולת העונש </w:t>
      </w:r>
      <w:r>
        <w:rPr>
          <w:rFonts w:ascii="Calibri" w:hAnsi="Calibri" w:cs="Calibri"/>
          <w:rtl w:val="true"/>
        </w:rPr>
        <w:t>והערעור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שופטים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5655/13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20.11.14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המבקש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 ש</w:t>
      </w:r>
      <w:r>
        <w:rPr>
          <w:rFonts w:ascii="Calibri" w:hAnsi="Calibri" w:cs="Calibri"/>
          <w:rtl w:val="true"/>
        </w:rPr>
        <w:t>חבט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לאוזנו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שבגינו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עונשו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הוחמר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מאחורי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סורג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שופטים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25.9.07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מששמע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tl w:val="true"/>
        </w:rPr>
        <w:t xml:space="preserve">,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16.5.13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13.1.13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שיכול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וירוצו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בדרך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ועד </w:t>
      </w:r>
      <w:r>
        <w:rPr>
          <w:rFonts w:cs="Calibri" w:ascii="Calibri" w:hAnsi="Calibri"/>
          <w:u w:val="single"/>
        </w:rPr>
        <w:t>18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 xml:space="preserve">וזאת </w:t>
      </w:r>
      <w:r>
        <w:rPr>
          <w:rFonts w:ascii="Calibri" w:hAnsi="Calibri" w:cs="Calibri"/>
          <w:u w:val="single"/>
          <w:rtl w:val="true"/>
        </w:rPr>
        <w:t>בצירוף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 על 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לקורבן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ascii="Calibri" w:hAnsi="Calibri" w:cs="Calibri"/>
          <w:u w:val="single"/>
          <w:rtl w:val="true"/>
        </w:rPr>
        <w:t>עבירה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וקנס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כספי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שמבוסס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</w:t>
      </w:r>
      <w:r>
        <w:rPr>
          <w:rFonts w:ascii="Calibri" w:hAnsi="Calibri" w:cs="Calibri"/>
          <w:u w:val="single"/>
          <w:rtl w:val="true"/>
        </w:rPr>
        <w:t>ד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מסוים </w:t>
      </w:r>
      <w:r>
        <w:rPr>
          <w:rFonts w:ascii="Calibri" w:hAnsi="Calibri" w:cs="Calibri"/>
          <w:u w:val="single"/>
          <w:rtl w:val="true"/>
        </w:rPr>
        <w:t>להודאה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 גזירת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אף שבכל זאת מדובר ב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מועט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 הראיות וניהול 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bidi w:val="0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שניהם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>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הסלחנית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וכן </w:t>
      </w:r>
      <w:r>
        <w:rPr>
          <w:rFonts w:ascii="Calibri" w:hAnsi="Calibri" w:cs="Calibri"/>
          <w:rtl w:val="true"/>
        </w:rPr>
        <w:t>ניסיו</w:t>
      </w:r>
      <w:r>
        <w:rPr>
          <w:rFonts w:ascii="Calibri" w:hAnsi="Calibri" w:cs="Calibri"/>
          <w:rtl w:val="true"/>
        </w:rPr>
        <w:t xml:space="preserve">נותיה הבלתי נלאים </w:t>
      </w:r>
      <w:r>
        <w:rPr>
          <w:rFonts w:ascii="Calibri" w:hAnsi="Calibri" w:cs="Calibri"/>
          <w:rtl w:val="true"/>
        </w:rPr>
        <w:t>לחלצו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 מהחקירה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 מהעונש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ו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הרציונל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התנהגותה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פלונית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איננה מותירה מקום לספק כי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קבלת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כלשהו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 שנשמט הבסיס ה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העיוני </w:t>
      </w:r>
      <w:r>
        <w:rPr>
          <w:rFonts w:ascii="Calibri" w:hAnsi="Calibri" w:cs="Calibri"/>
          <w:rtl w:val="true"/>
        </w:rPr>
        <w:t>בחיוב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פלונית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בהלך הפלילי </w:t>
      </w:r>
      <w:r>
        <w:rPr>
          <w:rFonts w:ascii="Calibri" w:hAnsi="Calibri" w:cs="Calibri"/>
          <w:rtl w:val="true"/>
        </w:rPr>
        <w:t>משרת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מיועד לקדם תכלית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נזיקית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לפיצוי הניזוק על הנזק שנגרם לו מהעבירה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ואיננו 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בעוד שקנס מיועד לקדם תכלית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מובהקת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אין זה מתפקידו של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לכפות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לקבל פיצוי מהנאשם בניגוד לרצונה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בהליך האזרחי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בית המשפט לא מעניק  </w:t>
      </w:r>
      <w:r>
        <w:rPr>
          <w:rFonts w:ascii="Calibri" w:hAnsi="Calibri" w:cs="Calibri"/>
          <w:u w:val="single"/>
          <w:rtl w:val="true"/>
        </w:rPr>
        <w:t>מיוזמתו</w:t>
      </w:r>
      <w:r>
        <w:rPr>
          <w:rFonts w:ascii="Calibri" w:hAnsi="Calibri" w:cs="Calibri"/>
          <w:rtl w:val="true"/>
        </w:rPr>
        <w:t xml:space="preserve"> סעד כספי המורה למזיק לפצות את הניזוק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ההליך האזרחי קם לתחיה רק בעקבות תביעה שמגיש הניזוק נגד המזיק ובה הוא עותר בצורה מפורשת לקבלת סעד כספי נגדו בשל הנזק שנגרם לניזוק מעוולתו של המזיק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בהעדר תביעה יזומה מטעם הניזוק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סעד 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הניזוק יכול גם לוותר על תביעתו לאחר הגשתה ובמקרה כזה אין לבית המשפט אלא להיעתר לבקשה ולמחוק את 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זה מתפקידו של בית המשפט לריב את ריבו של הניזוק ועוד בעל כורחו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 בהליך האזרחי בתביעות נזיקין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 גם בהליך הפלילי בנוגע לרכיב הפיצוי בעת גזירת הדין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לאור מכלול 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 השירות יבוצעו במפקדת מחוז מרכז של שרות בתי הסוהר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יעבוד חמישה ימים בשבוע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 וחצי שעות עבודה יומיות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יתייצב ביום </w:t>
      </w:r>
      <w:r>
        <w:rPr>
          <w:rFonts w:cs="Calibri" w:ascii="Calibri" w:hAnsi="Calibri"/>
        </w:rPr>
        <w:t>14.1.18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08:00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 מחוז מרכז של שירות בתי הסוהר לתחילת ריצוי עבודות השירות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שמונה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1.2.2018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פירעון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19620-11-14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David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bidi w:val="0"/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4" TargetMode="External"/><Relationship Id="rId4" Type="http://schemas.openxmlformats.org/officeDocument/2006/relationships/hyperlink" Target="http://www.nevo.co.il/law/70301/335.a" TargetMode="External"/><Relationship Id="rId5" Type="http://schemas.openxmlformats.org/officeDocument/2006/relationships/hyperlink" Target="http://www.nevo.co.il/law/70301/334;335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10443005" TargetMode="External"/><Relationship Id="rId8" Type="http://schemas.openxmlformats.org/officeDocument/2006/relationships/hyperlink" Target="http://www.nevo.co.il/case/5964626" TargetMode="External"/><Relationship Id="rId9" Type="http://schemas.openxmlformats.org/officeDocument/2006/relationships/hyperlink" Target="http://www.nevo.co.il/case/7977368" TargetMode="External"/><Relationship Id="rId10" Type="http://schemas.openxmlformats.org/officeDocument/2006/relationships/hyperlink" Target="http://www.nevo.co.il/case/7977340" TargetMode="External"/><Relationship Id="rId11" Type="http://schemas.openxmlformats.org/officeDocument/2006/relationships/hyperlink" Target="http://www.nevo.co.il/case/5954809" TargetMode="External"/><Relationship Id="rId12" Type="http://schemas.openxmlformats.org/officeDocument/2006/relationships/hyperlink" Target="http://www.nevo.co.il/case/6846343" TargetMode="External"/><Relationship Id="rId13" Type="http://schemas.openxmlformats.org/officeDocument/2006/relationships/hyperlink" Target="http://www.nevo.co.il/case/5592533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2018-10-09T15:12:00Z</dcterms:created>
  <dc:creator> </dc:creator>
  <dc:description/>
  <cp:keywords/>
  <dc:language>en-IL</dc:language>
  <cp:lastModifiedBy>run</cp:lastModifiedBy>
  <dcterms:modified xsi:type="dcterms:W3CDTF">2018-10-09T15:12:00Z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10443005;7977368;7977340;5954809;6846343;5592533</vt:lpwstr>
  </property>
  <property fmtid="{D5CDD505-2E9C-101B-9397-08002B2CF9AE}" pid="9" name="CITY">
    <vt:lpwstr>רמ'</vt:lpwstr>
  </property>
  <property fmtid="{D5CDD505-2E9C-101B-9397-08002B2CF9AE}" pid="10" name="DATE">
    <vt:lpwstr>20171228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70301/334;335.a</vt:lpwstr>
  </property>
  <property fmtid="{D5CDD505-2E9C-101B-9397-08002B2CF9AE}" pid="15" name="LAWYER">
    <vt:lpwstr>איתי שמואלי;ראיס אבו סייף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19620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380020171228</vt:lpwstr>
  </property>
  <property fmtid="{D5CDD505-2E9C-101B-9397-08002B2CF9AE}" pid="34" name="TYPE_N_DATE">
    <vt:lpwstr>38020171228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