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19642-04-18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כלש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יחיאל ליפשיץ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חיפה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אמין כלש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באמצעות בא כוחו –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עלאא עתאמנה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אינהרנטית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לפסוק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האומדנה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כאב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וסבל</w:t>
      </w:r>
      <w:r>
        <w:rPr>
          <w:rFonts w:cs="FrankRuehl"/>
          <w:szCs w:val="26"/>
          <w:rtl w:val="true"/>
        </w:rPr>
        <w:t>'.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פיצויו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שניזוק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ורשלנות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לכאורה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באוויר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והזמין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שאופיין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באובססיביות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רכושנות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וקנאה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מאפיינים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ובעייתית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אינהרנטית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אשמה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טמון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אלכוהוליים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אלכוהול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האלכוהול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סובל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דוגמת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האלכוהול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שמקהים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לאוויר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נשמע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לבסוף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לצמצם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יתפתה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לחץ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התרגשות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כבענייננו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הקונקרטיות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מאפייני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משך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מקום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מטרת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הנשיאה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" –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למעצרו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לפרנסתו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לחובתו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מכביד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זקוק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לניהול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זוג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אלכוהול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לזקוף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אלמלא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זכאית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נאלצה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טראומטי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באוויר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זכאית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לפיצוי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לפסוק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האומדנה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כאב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וסבל</w:t>
      </w:r>
      <w:r>
        <w:rPr>
          <w:rFonts w:cs="FrankRuehl"/>
          <w:szCs w:val="26"/>
          <w:rtl w:val="true"/>
        </w:rPr>
        <w:t>".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4,000</w:t>
      </w:r>
      <w:r>
        <w:rPr>
          <w:rFonts w:cs="FrankRuehl"/>
          <w:szCs w:val="26"/>
          <w:rtl w:val="true"/>
        </w:rPr>
        <w:t xml:space="preserve"> ₪.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1.4.18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כתב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המתוקן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והסכמות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הצדדים</w:t>
      </w:r>
      <w:r>
        <w:rPr>
          <w:rFonts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שתוצגנה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שקדמו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1.4.18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האירוע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חברתו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כשבועיים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בסביבות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היער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בקוטר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תגידי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תתוודי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עכשיו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אותך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פה</w:t>
      </w:r>
      <w:r>
        <w:rPr>
          <w:rFonts w:cs="David" w:ascii="David" w:hAnsi="David"/>
          <w:rtl w:val="true"/>
        </w:rPr>
        <w:t>"; "</w:t>
      </w:r>
      <w:r>
        <w:rPr>
          <w:rFonts w:ascii="David" w:hAnsi="David"/>
          <w:b/>
          <w:b/>
          <w:bCs/>
          <w:rtl w:val="true"/>
        </w:rPr>
        <w:t>באמא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עלייך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עכשיו</w:t>
      </w:r>
      <w:r>
        <w:rPr>
          <w:rFonts w:cs="David" w:ascii="David" w:hAnsi="David"/>
          <w:rtl w:val="true"/>
        </w:rPr>
        <w:t>"; "</w:t>
      </w:r>
      <w:r>
        <w:rPr>
          <w:rFonts w:ascii="David" w:hAnsi="David"/>
          <w:b/>
          <w:b/>
          <w:bCs/>
          <w:rtl w:val="true"/>
        </w:rPr>
        <w:t>אגמור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עלייך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האחים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אכנס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לכלא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בעיה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u w:val="single"/>
          <w:rtl w:val="true"/>
        </w:rPr>
        <w:t>בנוסף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במהלך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השיחה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לעיל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שלף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האקדח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ממכנסיו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הראה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אותו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לר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ascii="David" w:hAnsi="David"/>
          <w:u w:val="single"/>
          <w:rtl w:val="true"/>
        </w:rPr>
        <w:t>ק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וירה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לסירוגין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cs="David" w:ascii="David" w:hAnsi="David"/>
          <w:u w:val="single"/>
        </w:rPr>
        <w:t>11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יריות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באוויר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וכשהתקרבו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בכיסא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הסכימו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הודעת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נשיאת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והובלת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>+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hyperlink r:id="rId7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>+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מעשי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פזיזות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338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המבחן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כאקט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התאפיינו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ואובססיביות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אינטנסיבית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וכעסים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נותקו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מתחמקת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..),  </w:t>
      </w:r>
      <w:r>
        <w:rPr>
          <w:rFonts w:ascii="David" w:hAnsi="David"/>
          <w:rtl w:val="true"/>
        </w:rPr>
        <w:t>הוסיפה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בסגירת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מפחדת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דווקא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היפוכו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ולטענתו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למישורי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הגלומה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בוויסות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הרתיעוהו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באישיותו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ואותנטי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ורגשותיו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סיכומו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מיטיב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המאשימה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ואיומים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ושבל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תמצית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טיעוני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המאשימה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הבטחת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וקדושת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הבטחת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המייצגת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לנטילת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ולהערכה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הורתע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האמצעי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למתלוננת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תמצית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טיעוני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ודבר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טרם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גזר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הוחזק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לאוויר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בשימוש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ספונטאני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המילולית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שהחזיקו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מתון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להרחיב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לפרנסתו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דווקא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להודיית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בהעדת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להשריש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הווית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מאופיין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בדברו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והזמין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שאופיין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באובססיביות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ובעייתית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פעם </w:t>
      </w:r>
      <w:r>
        <w:rPr>
          <w:rFonts w:ascii="David" w:hAnsi="David"/>
          <w:rtl w:val="true"/>
        </w:rPr>
        <w:t>לאלימות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מילולית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ופיזית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המילולית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נחסך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אינהרנטית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אשמה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טמון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בנדון</w:t>
      </w:r>
      <w:r>
        <w:rPr>
          <w:rFonts w:ascii="David" w:hAnsi="David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5831/13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22.12.13</w:t>
      </w:r>
      <w:r>
        <w:rPr>
          <w:rFonts w:cs="David" w:ascii="David" w:hAnsi="David"/>
          <w:rtl w:val="true"/>
        </w:rPr>
        <w:t xml:space="preserve">);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1929/12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24.4.12</w:t>
      </w:r>
      <w:r>
        <w:rPr>
          <w:rFonts w:cs="David" w:ascii="David" w:hAnsi="David"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7701/14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טייב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16.5.16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דוגמת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שמקהים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מיידית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להוראות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מאפייניו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יחודיים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8.3.17</w:t>
      </w:r>
      <w:r>
        <w:rPr>
          <w:rFonts w:cs="Calibri" w:ascii="Calibri" w:hAnsi="Calibri"/>
          <w:rtl w:val="true"/>
        </w:rPr>
        <w:t xml:space="preserve">);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4215/18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טיב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8.7.18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התרגשות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);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10.8.06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ייחודיות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>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לדוגמה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21602-01-16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אלפסי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16.2.18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חיפה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36566-10-17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עמאש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16.1.18</w:t>
      </w:r>
      <w:r>
        <w:rPr>
          <w:rFonts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45228-07-16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30.4.17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368" w:end="426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לצערנו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אלמלא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כלל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הגורמים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לעיל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כבד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מסכים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באויר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5518/17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17.6.18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"..</w:t>
      </w:r>
      <w:r>
        <w:rPr>
          <w:rFonts w:ascii="Calibri" w:hAnsi="Calibri" w:cs="Calibri"/>
          <w:b/>
          <w:b/>
          <w:bCs/>
          <w:rtl w:val="true"/>
        </w:rPr>
        <w:t>ובכלל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סכום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הפיצויים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לבטא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בהכרח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שיפוי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ובהיקש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הנזיקין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האומדנה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כאב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וסבל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שנגרמו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לתכליתו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ולאופיו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77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דנ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5625/16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טווק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בנבו</w:t>
      </w:r>
      <w:r>
        <w:rPr>
          <w:b/>
          <w:bCs/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13.9.2017</w:t>
      </w:r>
      <w:r>
        <w:rPr>
          <w:rFonts w:cs="Calibri" w:ascii="Calibri" w:hAnsi="Calibri"/>
          <w:b/>
          <w:bCs/>
          <w:rtl w:val="true"/>
        </w:rPr>
        <w:t xml:space="preserve">))".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תשומת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להערותיי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לשילוב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טיפולית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לבעיית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ניהול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זוגית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ובנוגע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לבעיית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האלכוהול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מאמץ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מתאימה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האפשרי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סוף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משית על הנאשם את העונשים הבאים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עשרים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ארבעה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1.4.18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1.3.19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אני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אוסר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מי</w:t>
      </w:r>
      <w:r>
        <w:rPr>
          <w:rFonts w:ascii="David" w:hAnsi="David"/>
          <w:u w:val="single"/>
          <w:rtl w:val="true"/>
        </w:rPr>
        <w:t xml:space="preserve">  </w:t>
      </w:r>
      <w:r>
        <w:rPr>
          <w:rFonts w:ascii="David" w:hAnsi="David"/>
          <w:u w:val="single"/>
          <w:rtl w:val="true"/>
        </w:rPr>
        <w:t>מטעמו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ליצור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קשר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במישרין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בעקיפין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המתלוננת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בנוגע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לתשלום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19642-04-18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אמין כלש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"/>
      <w:numFmt w:val="bullet"/>
      <w:lvlText w:val=""/>
      <w:lvlJc w:val="end"/>
      <w:pPr>
        <w:tabs>
          <w:tab w:val="num" w:pos="0"/>
        </w:tabs>
        <w:ind w:start="1306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eastAsia="Times New Roman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a.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.a.5" TargetMode="External"/><Relationship Id="rId10" Type="http://schemas.openxmlformats.org/officeDocument/2006/relationships/hyperlink" Target="http://www.nevo.co.il/case/10442662" TargetMode="External"/><Relationship Id="rId11" Type="http://schemas.openxmlformats.org/officeDocument/2006/relationships/hyperlink" Target="http://www.nevo.co.il/case/5571024" TargetMode="External"/><Relationship Id="rId12" Type="http://schemas.openxmlformats.org/officeDocument/2006/relationships/hyperlink" Target="http://www.nevo.co.il/case/18653966" TargetMode="External"/><Relationship Id="rId13" Type="http://schemas.openxmlformats.org/officeDocument/2006/relationships/hyperlink" Target="http://www.nevo.co.il/case/22006503" TargetMode="External"/><Relationship Id="rId14" Type="http://schemas.openxmlformats.org/officeDocument/2006/relationships/hyperlink" Target="http://www.nevo.co.il/case/24263578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5887664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20874779" TargetMode="External"/><Relationship Id="rId19" Type="http://schemas.openxmlformats.org/officeDocument/2006/relationships/hyperlink" Target="http://www.nevo.co.il/case/21640336" TargetMode="External"/><Relationship Id="rId20" Type="http://schemas.openxmlformats.org/officeDocument/2006/relationships/hyperlink" Target="http://www.nevo.co.il/case/228532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1477594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2019-01-02T07:30:00Z</dcterms:created>
  <dc:creator> </dc:creator>
  <dc:description/>
  <cp:keywords/>
  <dc:language>en-IL</dc:language>
  <cp:lastModifiedBy>orly</cp:lastModifiedBy>
  <dcterms:modified xsi:type="dcterms:W3CDTF">2019-01-02T07:30:00Z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אמין כלש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10442662;5571024;18653966;22006503;24263578;7791493;5887664;6473037;20874779;21640336;22853229;21477594</vt:lpwstr>
  </property>
  <property fmtid="{D5CDD505-2E9C-101B-9397-08002B2CF9AE}" pid="9" name="CITY">
    <vt:lpwstr>חי'</vt:lpwstr>
  </property>
  <property fmtid="{D5CDD505-2E9C-101B-9397-08002B2CF9AE}" pid="10" name="DATE">
    <vt:lpwstr>20181224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70301/144.a;144.b;338.a.5</vt:lpwstr>
  </property>
  <property fmtid="{D5CDD505-2E9C-101B-9397-08002B2CF9AE}" pid="15" name="LAWYER">
    <vt:lpwstr>עלאא עתאמנה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>19642</vt:lpwstr>
  </property>
  <property fmtid="{D5CDD505-2E9C-101B-9397-08002B2CF9AE}" pid="23" name="NEWPARTB">
    <vt:lpwstr>04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פיצויים והוצאות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1443;1446;1447</vt:lpwstr>
  </property>
  <property fmtid="{D5CDD505-2E9C-101B-9397-08002B2CF9AE}" pid="48" name="NOSE31">
    <vt:lpwstr>נשיאת נשק שלא כדין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>פיצויו של מי שניזוק על-ידי העבירה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12837;13800;9011</vt:lpwstr>
  </property>
  <property fmtid="{D5CDD505-2E9C-101B-9397-08002B2CF9AE}" pid="59" name="PADIDATE">
    <vt:lpwstr>20190102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390120181224</vt:lpwstr>
  </property>
  <property fmtid="{D5CDD505-2E9C-101B-9397-08002B2CF9AE}" pid="69" name="TYPE_N_DATE">
    <vt:lpwstr>39020181224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