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19674-02-14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אלוחידי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אלוחידי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ג ז ר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–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 ד י 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bookmarkStart w:id="3" w:name="PsakDin"/>
      <w:bookmarkStart w:id="4" w:name="_GoBack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 בעובדות כתב האישום המתוקן ואשר מחולק לשישה חלקים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חלק כללי וחמישה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נעמוד להלן על חלקיו השונים של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חלק כללי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</w:rPr>
        <w:t xml:space="preserve">במהלך החודשים ספטמבר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התקופה הרלוונטית לכתב האישום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פעלו עלי אבו לבן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עלי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ומוחמד אבו צעלוק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מוחמד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כחבורה עבריינית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עסקה בצורה מאורגנת ושיטתית בסחר בסמים מסוג 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הפעילות העבריינית ניהלו עלי ומוחמד באמצעות מכשירי טלפון ניידים שהיו ברשותם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מספריהם הוחלפו מעת לעת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קידום פעילותם לביצוע עסקאות הסמים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נהגו עלי ומוחמד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לקוחותיהם להשתמש במילות קוד אשר שימשו אותם להסוואת עיסוקם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לאורך התקופה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פעלו עלי ומוחמד יחדיו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ובחלק מהמקרים לחוד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עסקאות הסמים השונות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עלי הנהיג את הפעילות העבריינית באופן שבו נהג לתת למוחמד הוראות בדבר מכירת הסמים והפצתם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ניהול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רישום ותמחור עסקאות הסחר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 הפנה למוחמד קונים פוטנציאליים</w:t>
      </w:r>
      <w:bookmarkStart w:id="6" w:name="ABSTRACT_END"/>
      <w:bookmarkEnd w:id="6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בתקופה הרלוונטית לכתב האישום נהגו עלי ומוחמד לבצע את עסקאות הסמים והסחר בהם באופנים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דרך ההתנהלות הבולטת היתה בכך שהקונה היה מתקשר למוחמד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מתאם עימו את פרטי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מקום המפגש ועלות העסקה ובסיומה נהג מוחמד לדווח על ביצועה לעלי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עבודתם המשותפת של עלי ומוחמד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בקשר טלפוני יומיומי בנושא עסקאות הסחר בסמים והתשלום עבורם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בו מוחמד הונחה על ידי עלי כיצד לפעול ולנהל רישום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תועד על ידי מוחמד במחברות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משקלה של פלטת סם מסוכן מסוג חשיש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ומחירה נע בין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פלטת סם מסוכן מסוג חשיש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הפלטות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שני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הפלטות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9.11.13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שלישי</w:t>
      </w:r>
    </w:p>
    <w:p>
      <w:pPr>
        <w:pStyle w:val="Normal"/>
        <w:ind w:end="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רביעי</w:t>
      </w:r>
    </w:p>
    <w:p>
      <w:pPr>
        <w:pStyle w:val="Normal"/>
        <w:ind w:end="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ממוחמד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חמישי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57996-11-12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20.5.13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6.11.14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8.3.15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6.11.14</w:t>
      </w:r>
      <w:r>
        <w:rPr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;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92-020-67</w:t>
      </w:r>
      <w:r>
        <w:rPr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 xml:space="preserve">;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48-528-51</w:t>
      </w:r>
      <w:r>
        <w:rPr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3.11.13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8.12.13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</w:t>
      </w:r>
      <w:r>
        <w:rPr>
          <w:rtl w:val="true"/>
        </w:rPr>
        <w:t xml:space="preserve">.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: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טלפוניות</w:t>
      </w:r>
      <w:r>
        <w:rPr>
          <w:rtl w:val="true"/>
        </w:rPr>
        <w:t xml:space="preserve">,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tl w:val="true"/>
        </w:rPr>
        <w:t xml:space="preserve">,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ואספקה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u w:val="single"/>
          <w:rtl w:val="true"/>
        </w:rPr>
        <w:t>הקשר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ההדוק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29.10.14</w:t>
      </w:r>
      <w:r>
        <w:rPr>
          <w:rtl w:val="true"/>
        </w:rPr>
        <w:t xml:space="preserve">)).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100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),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),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),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),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1000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בכמויות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גרמים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4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1271/13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סויסה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7.3.13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פלטת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100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אצבעות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20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120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בהסתבכותו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חילוט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8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שחודשיים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322/15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22.1.15</w:t>
      </w:r>
      <w:r>
        <w:rPr>
          <w:rFonts w:cs="David"/>
          <w:sz w:val="24"/>
          <w:szCs w:val="24"/>
          <w:rtl w:val="true"/>
        </w:rPr>
        <w:t xml:space="preserve">). 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214.62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192.67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417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18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</w:rPr>
      </w:pPr>
      <w:hyperlink r:id="rId4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6490/12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אבורמד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15.11.12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584.02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נטו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שרכיב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14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</w:rPr>
      </w:pPr>
      <w:hyperlink r:id="rId44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9426/04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גורי</w:t>
      </w:r>
      <w:r>
        <w:rPr>
          <w:rFonts w:eastAsia="Calibri" w:cs="Calibri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28.10.04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800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נטו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13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4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4816/13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מרדכי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9.7.13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902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ובריח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4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/>
          <w:sz w:val="24"/>
          <w:szCs w:val="24"/>
          <w:u w:val="single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בקהילה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</w:rPr>
      </w:pPr>
      <w:hyperlink r:id="rId46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2156/11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עזרא</w:t>
      </w:r>
      <w:r>
        <w:rPr>
          <w:rFonts w:eastAsia="Calibri" w:cs="Calibri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20.3.11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hyperlink r:id="rId4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10098-12-10</w:t>
        </w:r>
      </w:hyperlink>
      <w:r>
        <w:rPr>
          <w:rFonts w:cs="David"/>
          <w:sz w:val="24"/>
          <w:szCs w:val="24"/>
          <w:rtl w:val="true"/>
        </w:rPr>
        <w:t xml:space="preserve"> 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7.3.11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7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עסקאות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סחר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מהעסקאות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100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400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חמש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tl w:val="true"/>
        </w:rPr>
        <w:t xml:space="preserve">"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החריגה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מטעמים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שיקום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משקבענו שמתחם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לעניין רכיב המאסר 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אדון כעת בטענתו של הנאשם שיש לסטות ממתחם העונש ההולם לקולא מטעמים של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אי הטלת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מתיר חריגה לקולא ממתחם העונש ההולם במקרים שבהם בית משפט השתכנע כי יש סיכוי של ממש כי הנאשם ישתקם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שאלת הסטיה ממתחם העונש ההולם כפופה תמיד לחומרת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סעיף </w:t>
      </w:r>
      <w:hyperlink r:id="rId50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היו מעשה העבירה ומידת אשמו של הנאשם בעלי חומרה יתרה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יחרוג בית המשפט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אף אם הנאשם השתקם או אם יש סיכוי של ממש שישתקם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בנסיבות מיוחדות ויוצאות דופן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שבית המשפט שוכנע שהן גוברות על הצורך לקבוע את העונש במתחם העונש ההולם בהתאם לעיקרון המנחה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ופירט זאת בגזר הדין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5936/13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כבוד השופט הנדל קבע שלעיתים חומרת העבירה מצריכה עונש מאסר בפועל לתקופה לא 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גם אם יש סימני חרטה ושיקום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שככל שהעבירה ונסיבותיה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גובר הנטל על הטוען להקלה בשל שיקולי שיקום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הלכה זו חזר בית המשפט העליון גם ב</w:t>
      </w:r>
      <w:r>
        <w:rPr>
          <w:rFonts w:cs="Arial" w:ascii="Arial" w:hAnsi="Arial"/>
          <w:rtl w:val="true"/>
        </w:rPr>
        <w:t>-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3429/14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19.3.15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של כבוד השופטת ברק ארז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המתח שבין חומרת העבירה שבוצעה על ידי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העובדה שעבר הליך שיקומי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מציב בפני בית המשפט שתי אפשרויות לבחור מהן בעת גזירת הדין</w:t>
      </w:r>
      <w:r>
        <w:rPr>
          <w:rFonts w:cs="Arial" w:ascii="Arial" w:hAnsi="Arial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שלא לסטות כלל ממתחם העונש ההולם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על אף השיקום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747/14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11.2.14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המערער החזיק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הרואין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0.095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השתלב במרכז לגמילה מסמים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את הטיפול בהצלחה ושרות המבחן המליץ על העמדתו בפיקוחם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נדון למאסר בפועל מאחורי סורג ובריח ועתירתו לסטייה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שבגבול התחתון שלו כלל רכיב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סטייה לקולא מהמתחם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תוך הכרעה במידת הסטייה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שמדובר בעבירה בדרגת חומרה שאינה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יתכנו מקרים שבהם בית המשפט יסטה ממדיניות הענישה הנוהגת על ידי הימנעות מהטלת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שמדובר בעבירה שמצויה בדרגת חומרה גבוהה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מידת הסטיה תהיה קטנה ובכל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הסופי יכלול רכיב של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בפסיקה קיימות דוגמאות שבהן עבירה בדרגת חומרה גבוהה הובילה את בית המשפט למסקנה </w:t>
      </w:r>
      <w:r>
        <w:rPr>
          <w:rFonts w:ascii="Arial" w:hAnsi="Arial" w:cs="Arial"/>
          <w:u w:val="single"/>
          <w:rtl w:val="true"/>
        </w:rPr>
        <w:t>שניתן לסטות מהמתחם</w:t>
      </w:r>
      <w:r>
        <w:rPr>
          <w:rFonts w:ascii="Arial" w:hAnsi="Arial" w:cs="Arial"/>
          <w:rtl w:val="true"/>
        </w:rPr>
        <w:t xml:space="preserve"> עקב קיומו של סיכוי ממשי לשיקומו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ידי </w:t>
      </w:r>
      <w:r>
        <w:rPr>
          <w:rFonts w:ascii="Arial" w:hAnsi="Arial" w:cs="Arial"/>
          <w:u w:val="single"/>
          <w:rtl w:val="true"/>
        </w:rPr>
        <w:t>הפחתת תקופת המאסר בפועל</w:t>
      </w:r>
      <w:r>
        <w:rPr>
          <w:rFonts w:ascii="Arial" w:hAnsi="Arial" w:cs="Arial"/>
          <w:rtl w:val="true"/>
        </w:rPr>
        <w:t xml:space="preserve"> שהוטלה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עד כדי הימנעות מהטלת מאסר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הדוגמאות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14.7.13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המערער הורשע בביצוע עבירות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בידוי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מסירת ידיעה כוזבת והחזקת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סיכם עם אחר שהחזיק נשק כדין במסגרת עבודתו כשומר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אחר ימסור לו את נשקו תמורת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ובעוד שאותו אחר ימסור הודעה שקרית למשטרה שהותקף על ידי אלמונים ואלה גנבו את נשקו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שמתחם העונש ההולם לכלל האירוע </w:t>
      </w:r>
      <w:r>
        <w:rPr>
          <w:rFonts w:ascii="Arial" w:hAnsi="Arial" w:cs="Arial"/>
          <w:u w:val="single"/>
          <w:rtl w:val="true"/>
        </w:rPr>
        <w:t xml:space="preserve">נע בין </w:t>
      </w:r>
      <w:r>
        <w:rPr>
          <w:rFonts w:cs="Arial" w:ascii="Arial" w:hAnsi="Arial"/>
          <w:u w:val="single"/>
        </w:rPr>
        <w:t>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30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קבע שהמתחם הוא מתחם ראוי אך לאור העדר עבר פלילי והליך טיפולי שאותו עבר המערער בכלא וסיכוי נמוך להישנות ביצוע עבירות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לסטות מהמתחם שנקבע מטעמים של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עונש המאסר בפועל הופחת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היינו חודשיים פחות מהגבול התחתון של המתחם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ab/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5354/12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12.7.12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החזקת סם מסוג קוקאין במשקל </w:t>
      </w:r>
      <w:r>
        <w:rPr>
          <w:rFonts w:cs="Arial" w:ascii="Arial" w:hAnsi="Arial"/>
        </w:rPr>
        <w:t>37.96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שלא לצריכתו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נגמל מסמים לאחר שבמשך שנים היה מכור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השלום קבע שהמתחם בעניינו </w:t>
      </w:r>
      <w:r>
        <w:rPr>
          <w:rFonts w:ascii="Arial" w:hAnsi="Arial" w:cs="Arial"/>
          <w:u w:val="single"/>
          <w:rtl w:val="true"/>
        </w:rPr>
        <w:t xml:space="preserve">נע בין </w:t>
      </w:r>
      <w:r>
        <w:rPr>
          <w:rFonts w:cs="Arial" w:ascii="Arial" w:hAnsi="Arial"/>
          <w:u w:val="single"/>
        </w:rPr>
        <w:t>18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cs="Arial" w:ascii="Arial" w:hAnsi="Arial"/>
          <w:u w:val="single"/>
        </w:rPr>
        <w:t>36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חודשים</w:t>
      </w:r>
      <w:r>
        <w:rPr>
          <w:rFonts w:ascii="Arial" w:hAnsi="Arial" w:cs="Arial"/>
          <w:rtl w:val="true"/>
        </w:rPr>
        <w:t xml:space="preserve"> ודן אותו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u w:val="single"/>
        </w:rPr>
        <w:t>14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הינו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פחות מהגבול התחתון של המתחם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כבוד השופט שוהם קבע בפסקה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 שאין בתהליך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מוצלח ככל שיהיה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לאיין את חומרת המעשים ואת הצורך להעניש את המבקש במאסר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ab/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526/14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12.3.14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המערער הורשע בביצוע עבירות של החזקת נשק וסחר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מכר לסוכן משטרתי אקדח תמורת סך של </w:t>
      </w:r>
      <w:r>
        <w:rPr>
          <w:rFonts w:cs="Arial" w:ascii="Arial" w:hAnsi="Arial"/>
        </w:rPr>
        <w:t>14,000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מתסקיר שירות המבחן עלה שהמערער נהג להשתמש ולסחור בסמים בעבר וכי היה בעת מתן גזר הדין בטיפול בשירות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המליץ להסתפק בעבודות שירות וזאת נוכח ההליך הטיפולי החיובי בו החל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עליו </w:t>
      </w:r>
      <w:r>
        <w:rPr>
          <w:rFonts w:cs="Arial" w:ascii="Arial" w:hAnsi="Arial"/>
          <w:u w:val="single"/>
        </w:rPr>
        <w:t>22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הפחית את תקופת המאסר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16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חודשים </w:t>
      </w:r>
      <w:r>
        <w:rPr>
          <w:rFonts w:ascii="Arial" w:hAnsi="Arial" w:cs="Arial"/>
          <w:rtl w:val="true"/>
        </w:rPr>
        <w:t>וזאת מאחר והמערער מגלה פוטנציאל שיקומי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על ידי הבנת היתרונות בניהול אורח חיים נורמטיבי מבלי לעשות 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רכיב המאסר ממש בכל זאת נותר בעינו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 הסמים וכמותם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שהוחזקו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 ענישה ממשית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 שמתחם העונש ההולם הרלוונטי לעבירות שבוצעו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מתחם שחלקו התחתון מתחיל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ובעוד שחלקו העליון מסתיים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במתחם שהגבול התחתון שלו מתחיל ממאסר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מקובלת עליי טענת ההגנה ששיקולי השיקום מצדיקים סטיה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אי הטלת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 כל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קיומו של מאסר על תנאי שהינו חב הפעלה במקרה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התרשמתי שהמקרה שבפני הינו מסוג המקרים החריגים שמצדיקים הארכת המאסר על תנאי מכח סמכותו המיוחדת של בית המשפט שקבועה 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לאור ריבוי העבירות שמופיעות בכתב האישום שבכולן מדובר בעבירת סמים מסוג פשע שלצידה עונש מאסר מקסימאלי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והקפדתו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מורה על הפעלת המאסר המותנה של 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שהושת על הנאשם ב</w:t>
      </w:r>
      <w:r>
        <w:rPr>
          <w:rFonts w:cs="Arial" w:ascii="Arial" w:hAnsi="Arial"/>
          <w:rtl w:val="true"/>
        </w:rPr>
        <w:t>-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57996-11-12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בבית משפט השלום ברחובות ביום </w:t>
      </w:r>
      <w:r>
        <w:rPr>
          <w:rFonts w:cs="Arial" w:ascii="Arial" w:hAnsi="Arial"/>
        </w:rPr>
        <w:t>20.5.13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שחודש אחד יהיה בחופף וחודשיים יהיו במצטבר לעונש המאסר שהוטל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סך הכל ירצה הנאשם 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b/>
          <w:bCs/>
        </w:rPr>
        <w:t>29.1.14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ועד </w:t>
      </w:r>
      <w:r>
        <w:rPr>
          <w:rFonts w:cs="Arial" w:ascii="Arial" w:hAnsi="Arial"/>
          <w:b/>
          <w:bCs/>
        </w:rPr>
        <w:t>2.4.14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לפי 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לפי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מסוג 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הסכמת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מכריז על הנאשם כסוחר 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מורה על חילוטם של כל הפריטים שלהלן לטובת הקרן שפועלת לפי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36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</w:t>
        </w:r>
      </w:hyperlink>
      <w:r>
        <w:rPr>
          <w:rFonts w:ascii="Arial" w:hAnsi="Arial" w:cs="Arial"/>
          <w:rtl w:val="true"/>
        </w:rPr>
        <w:t xml:space="preserve"> ל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11,000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שנתפסו על ידי המשטרה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ab/>
        <w:t xml:space="preserve"> </w:t>
      </w:r>
      <w:r>
        <w:rPr>
          <w:rFonts w:ascii="Arial" w:hAnsi="Arial" w:cs="Arial"/>
          <w:rtl w:val="true"/>
        </w:rPr>
        <w:t>טלפון נייד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קטנוע הנושא לוחית רישוי </w:t>
      </w:r>
      <w:r>
        <w:rPr>
          <w:rFonts w:cs="Arial" w:ascii="Arial" w:hAnsi="Arial"/>
        </w:rPr>
        <w:t>92-020-67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רכב מסוג מאזדה הנושא לוחית רישוי </w:t>
      </w:r>
      <w:r>
        <w:rPr>
          <w:rFonts w:cs="Arial" w:ascii="Arial" w:hAnsi="Arial"/>
        </w:rPr>
        <w:t>48-528-51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19674-02-14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 אלוחידי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d.b" TargetMode="External"/><Relationship Id="rId6" Type="http://schemas.openxmlformats.org/officeDocument/2006/relationships/hyperlink" Target="http://www.nevo.co.il/law/70301/85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/36h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4216/7.a" TargetMode="External"/><Relationship Id="rId27" Type="http://schemas.openxmlformats.org/officeDocument/2006/relationships/hyperlink" Target="http://www.nevo.co.il/law/4216/7.c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4216/7.a" TargetMode="External"/><Relationship Id="rId32" Type="http://schemas.openxmlformats.org/officeDocument/2006/relationships/hyperlink" Target="http://www.nevo.co.il/law/4216/7.c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4216/13" TargetMode="External"/><Relationship Id="rId35" Type="http://schemas.openxmlformats.org/officeDocument/2006/relationships/hyperlink" Target="http://www.nevo.co.il/law/4216/19a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4073648" TargetMode="External"/><Relationship Id="rId40" Type="http://schemas.openxmlformats.org/officeDocument/2006/relationships/hyperlink" Target="http://www.nevo.co.il/case/13093721" TargetMode="External"/><Relationship Id="rId41" Type="http://schemas.openxmlformats.org/officeDocument/2006/relationships/hyperlink" Target="http://www.nevo.co.il/case/6361099" TargetMode="External"/><Relationship Id="rId42" Type="http://schemas.openxmlformats.org/officeDocument/2006/relationships/hyperlink" Target="http://www.nevo.co.il/case/19999565" TargetMode="External"/><Relationship Id="rId43" Type="http://schemas.openxmlformats.org/officeDocument/2006/relationships/hyperlink" Target="http://www.nevo.co.il/case/5594754" TargetMode="External"/><Relationship Id="rId44" Type="http://schemas.openxmlformats.org/officeDocument/2006/relationships/hyperlink" Target="http://www.nevo.co.il/case/6152603" TargetMode="External"/><Relationship Id="rId45" Type="http://schemas.openxmlformats.org/officeDocument/2006/relationships/hyperlink" Target="http://www.nevo.co.il/case/7765855" TargetMode="External"/><Relationship Id="rId46" Type="http://schemas.openxmlformats.org/officeDocument/2006/relationships/hyperlink" Target="http://www.nevo.co.il/case/5815624" TargetMode="External"/><Relationship Id="rId47" Type="http://schemas.openxmlformats.org/officeDocument/2006/relationships/hyperlink" Target="http://www.nevo.co.il/case/4678195" TargetMode="External"/><Relationship Id="rId48" Type="http://schemas.openxmlformats.org/officeDocument/2006/relationships/hyperlink" Target="http://www.nevo.co.il/law/70301/40d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d.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10442671" TargetMode="External"/><Relationship Id="rId53" Type="http://schemas.openxmlformats.org/officeDocument/2006/relationships/hyperlink" Target="http://www.nevo.co.il/case/16941505" TargetMode="External"/><Relationship Id="rId54" Type="http://schemas.openxmlformats.org/officeDocument/2006/relationships/hyperlink" Target="http://www.nevo.co.il/case/11279208" TargetMode="External"/><Relationship Id="rId55" Type="http://schemas.openxmlformats.org/officeDocument/2006/relationships/hyperlink" Target="http://www.nevo.co.il/case/6824952" TargetMode="External"/><Relationship Id="rId56" Type="http://schemas.openxmlformats.org/officeDocument/2006/relationships/hyperlink" Target="http://www.nevo.co.il/case/5590169" TargetMode="External"/><Relationship Id="rId57" Type="http://schemas.openxmlformats.org/officeDocument/2006/relationships/hyperlink" Target="http://www.nevo.co.il/case/11269745" TargetMode="External"/><Relationship Id="rId58" Type="http://schemas.openxmlformats.org/officeDocument/2006/relationships/hyperlink" Target="http://www.nevo.co.il/law/70301/85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4073648" TargetMode="External"/><Relationship Id="rId61" Type="http://schemas.openxmlformats.org/officeDocument/2006/relationships/hyperlink" Target="http://www.nevo.co.il/law/4216" TargetMode="External"/><Relationship Id="rId62" Type="http://schemas.openxmlformats.org/officeDocument/2006/relationships/hyperlink" Target="http://www.nevo.co.il/law/4216" TargetMode="External"/><Relationship Id="rId63" Type="http://schemas.openxmlformats.org/officeDocument/2006/relationships/hyperlink" Target="http://www.nevo.co.il/law/4216/36h" TargetMode="External"/><Relationship Id="rId64" Type="http://schemas.openxmlformats.org/officeDocument/2006/relationships/hyperlink" Target="http://www.nevo.co.il/law/4216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2017-10-30T07:28:00Z</dcterms:created>
  <dc:creator> </dc:creator>
  <dc:description/>
  <cp:keywords/>
  <dc:language>en-IL</dc:language>
  <cp:lastModifiedBy>yafit</cp:lastModifiedBy>
  <dcterms:modified xsi:type="dcterms:W3CDTF">2017-10-30T07:28:00Z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סמי אלוחידי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4073648:2;13093721;6361099;19999565;5594754;6152603;7765855;5815624;4678195;10442671;16941505;11279208;6824952;5590169;11269745</vt:lpwstr>
  </property>
  <property fmtid="{D5CDD505-2E9C-101B-9397-08002B2CF9AE}" pid="9" name="CITY">
    <vt:lpwstr>רמ'</vt:lpwstr>
  </property>
  <property fmtid="{D5CDD505-2E9C-101B-9397-08002B2CF9AE}" pid="10" name="DATE">
    <vt:lpwstr>20150331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70301/499.a.1:4;029;040d.a;040d.b;085</vt:lpwstr>
  </property>
  <property fmtid="{D5CDD505-2E9C-101B-9397-08002B2CF9AE}" pid="15" name="LAWLISTTMP2">
    <vt:lpwstr>4216/007.a:4;007.c:4;013;019a;036h</vt:lpwstr>
  </property>
  <property fmtid="{D5CDD505-2E9C-101B-9397-08002B2CF9AE}" pid="16" name="LAWYER">
    <vt:lpwstr>איריס מוריץ;אברהם אילון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19674</vt:lpwstr>
  </property>
  <property fmtid="{D5CDD505-2E9C-101B-9397-08002B2CF9AE}" pid="23" name="NEWPARTB">
    <vt:lpwstr>02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380020150331</vt:lpwstr>
  </property>
  <property fmtid="{D5CDD505-2E9C-101B-9397-08002B2CF9AE}" pid="35" name="TYPE_N_DATE">
    <vt:lpwstr>38020150331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