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FirstLawyer"/>
      <w:bookmarkStart w:id="1" w:name="FirstLawyer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3449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5041" w:type="dxa"/>
            <w:gridSpan w:val="2"/>
            <w:tcBorders/>
          </w:tcPr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19675-03-10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סיטון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128" w:type="dxa"/>
            <w:gridSpan w:val="2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19707-03-10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 ליה לב און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סגנית הנשיאה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LastJudge"/>
            <w:bookmarkStart w:id="3" w:name="FirstAppellant"/>
            <w:bookmarkEnd w:id="2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אוריאל סיטון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מאשימה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מדינת ישראל</w:t>
      </w:r>
      <w:r>
        <w:rPr>
          <w:b w:val="false"/>
          <w:b w:val="false"/>
          <w:bCs w:val="false"/>
          <w:u w:val="none"/>
          <w:rtl w:val="true"/>
        </w:rPr>
        <w:t xml:space="preserve"> באמצעות 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רייס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אוריאל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סיטון</w:t>
      </w:r>
      <w:r>
        <w:rPr>
          <w:b w:val="false"/>
          <w:b w:val="false"/>
          <w:bCs w:val="false"/>
          <w:u w:val="none"/>
          <w:rtl w:val="true"/>
        </w:rPr>
        <w:t xml:space="preserve"> הובא 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דורי פישר ס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צ </w:t>
      </w:r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186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380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384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FirstLawyer"/>
      <w:bookmarkStart w:id="8" w:name="PsakDin"/>
      <w:bookmarkEnd w:id="7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tl w:val="true"/>
        </w:rPr>
        <w:t>הנאשם אוריאל בן אליעזר סיטון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1991</w:t>
      </w:r>
      <w:r>
        <w:rPr>
          <w:rtl w:val="true"/>
        </w:rPr>
        <w:t xml:space="preserve"> </w:t>
      </w:r>
      <w:r>
        <w:rPr>
          <w:rtl w:val="true"/>
        </w:rPr>
        <w:t xml:space="preserve">הודה במיוחס לו בכתב האישום והורשע בעבירת לפי </w:t>
      </w:r>
      <w:hyperlink r:id="rId7">
        <w:r>
          <w:rPr>
            <w:rStyle w:val="Hyperlink"/>
            <w:color w:val="0000FF"/>
            <w:u w:val="single"/>
            <w:rtl w:val="true"/>
          </w:rPr>
          <w:t xml:space="preserve">הסעיפים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 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 xml:space="preserve">באישום הראשון וכן </w:t>
      </w:r>
      <w:hyperlink r:id="rId9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, </w:t>
      </w:r>
      <w:hyperlink r:id="rId10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11"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באישום השני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כתב האישום מגולל אירועי פורים שנת תש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, </w:t>
      </w:r>
      <w:r>
        <w:rPr>
          <w:rtl w:val="true"/>
        </w:rPr>
        <w:t xml:space="preserve">כאשר ביום </w:t>
      </w:r>
      <w:r>
        <w:rPr/>
        <w:t>27.2.10</w:t>
      </w:r>
      <w:r>
        <w:rPr>
          <w:rtl w:val="true"/>
        </w:rPr>
        <w:t xml:space="preserve"> </w:t>
      </w:r>
      <w:r>
        <w:rPr>
          <w:rtl w:val="true"/>
        </w:rPr>
        <w:t xml:space="preserve">במהלך מסיבת פורים בישיבה התיכונית </w:t>
      </w:r>
      <w:r>
        <w:rPr>
          <w:rtl w:val="true"/>
        </w:rPr>
        <w:t>"</w:t>
      </w:r>
      <w:r>
        <w:rPr>
          <w:rtl w:val="true"/>
        </w:rPr>
        <w:t>הליכות עולם</w:t>
      </w:r>
      <w:r>
        <w:rPr>
          <w:rtl w:val="true"/>
        </w:rPr>
        <w:t xml:space="preserve">" </w:t>
      </w:r>
      <w:r>
        <w:rPr>
          <w:rtl w:val="true"/>
        </w:rPr>
        <w:t>בקרני שומרון</w:t>
      </w:r>
      <w:r>
        <w:rPr>
          <w:rtl w:val="true"/>
        </w:rPr>
        <w:t xml:space="preserve">, </w:t>
      </w:r>
      <w:r>
        <w:rPr>
          <w:rtl w:val="true"/>
        </w:rPr>
        <w:t>ביקש מיכאל פלקסברג</w:t>
      </w:r>
      <w:r>
        <w:rPr>
          <w:rtl w:val="true"/>
        </w:rPr>
        <w:t xml:space="preserve">, </w:t>
      </w:r>
      <w:r>
        <w:rPr>
          <w:rtl w:val="true"/>
        </w:rPr>
        <w:t>מדריך בישיבה את אחד מתלמידי הישיבה שלא להגיש משקאות אלכוהוליים נוספים לנאשם ולאדם נוסף שהיה עימו כי היו שתויים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בתגובה תקף הנאשם את המדריך בכך שהיכה באגרוף בפניו ובעט ברגלו וקילל אותו </w:t>
      </w:r>
      <w:r>
        <w:rPr>
          <w:rtl w:val="true"/>
        </w:rPr>
        <w:t xml:space="preserve">. </w:t>
      </w:r>
      <w:r>
        <w:rPr>
          <w:rtl w:val="true"/>
        </w:rPr>
        <w:t>כתוצאה מהתקיפה נגרם למדריך דימום באפו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28.2.10</w:t>
      </w:r>
      <w:r>
        <w:rPr>
          <w:rtl w:val="true"/>
        </w:rPr>
        <w:t xml:space="preserve"> </w:t>
      </w:r>
      <w:r>
        <w:rPr>
          <w:rtl w:val="true"/>
        </w:rPr>
        <w:t xml:space="preserve">בין השעות </w:t>
      </w:r>
      <w:r>
        <w:rPr/>
        <w:t>17:00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 xml:space="preserve">השתתף הנאשם במסיבת פורים בבית הכנסת </w:t>
      </w:r>
      <w:r>
        <w:rPr>
          <w:rtl w:val="true"/>
        </w:rPr>
        <w:t>"</w:t>
      </w:r>
      <w:r>
        <w:rPr>
          <w:rtl w:val="true"/>
        </w:rPr>
        <w:t>משיבת נפש</w:t>
      </w:r>
      <w:r>
        <w:rPr>
          <w:rtl w:val="true"/>
        </w:rPr>
        <w:t xml:space="preserve">" </w:t>
      </w:r>
      <w:r>
        <w:rPr>
          <w:rtl w:val="true"/>
        </w:rPr>
        <w:t>שבעמנואל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 המסיבה</w:t>
      </w:r>
      <w:r>
        <w:rPr>
          <w:rtl w:val="true"/>
        </w:rPr>
        <w:t xml:space="preserve">, </w:t>
      </w:r>
      <w:r>
        <w:rPr>
          <w:rtl w:val="true"/>
        </w:rPr>
        <w:t>ולאחר ששתה אלכוהול הבחין כי רפאל ששון שברשותו אקדח אותו נושא הוא ברשיון שוכב ישן על מזרון ומחזיק על גופו מתחת מכנסיו באקדח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 נטל את האקדח והטמינו בכיס מעילו</w:t>
      </w:r>
      <w:r>
        <w:rPr>
          <w:rtl w:val="true"/>
        </w:rPr>
        <w:t xml:space="preserve">, </w:t>
      </w:r>
      <w:r>
        <w:rPr>
          <w:rtl w:val="true"/>
        </w:rPr>
        <w:t xml:space="preserve">נטל סכין לחיתוך בשר באורך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סמ</w:t>
      </w:r>
      <w:r>
        <w:rPr>
          <w:rtl w:val="true"/>
        </w:rPr>
        <w:t xml:space="preserve">' </w:t>
      </w:r>
      <w:r>
        <w:rPr>
          <w:rtl w:val="true"/>
        </w:rPr>
        <w:t>מהמטבח והטמינה גם כן  במעילו נסע לביתו שבאלעד והטמינם בחדרו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5.3.10</w:t>
      </w:r>
      <w:r>
        <w:rPr>
          <w:rtl w:val="true"/>
        </w:rPr>
        <w:t xml:space="preserve"> </w:t>
      </w:r>
      <w:r>
        <w:rPr>
          <w:rtl w:val="true"/>
        </w:rPr>
        <w:t>התקשר אליו רפאל ששון ושאלו על האקדח</w:t>
      </w:r>
      <w:r>
        <w:rPr>
          <w:rtl w:val="true"/>
        </w:rPr>
        <w:t xml:space="preserve">, </w:t>
      </w:r>
      <w:r>
        <w:rPr>
          <w:rtl w:val="true"/>
        </w:rPr>
        <w:t>והנאשם טען בפניו בכזב כי אחר גנבו ומתכנן למוכרו ב</w:t>
      </w:r>
      <w:r>
        <w:rPr/>
        <w:t>700</w:t>
      </w:r>
      <w:r>
        <w:rPr>
          <w:rtl w:val="true"/>
        </w:rPr>
        <w:t xml:space="preserve"> ₪ </w:t>
      </w:r>
      <w:r>
        <w:rPr>
          <w:rtl w:val="true"/>
        </w:rPr>
        <w:t xml:space="preserve">ולבקשת ששון כי מוכן גם לשלם </w:t>
      </w:r>
      <w:r>
        <w:rPr/>
        <w:t>2,000</w:t>
      </w:r>
      <w:r>
        <w:rPr>
          <w:rtl w:val="true"/>
        </w:rPr>
        <w:t xml:space="preserve">  ₪ </w:t>
      </w:r>
      <w:r>
        <w:rPr>
          <w:rtl w:val="true"/>
        </w:rPr>
        <w:t>הסכים הנאשם לפדותו עבורו ב</w:t>
      </w:r>
      <w:r>
        <w:rPr>
          <w:rtl w:val="true"/>
        </w:rPr>
        <w:t>-</w:t>
      </w:r>
      <w:r>
        <w:rPr/>
        <w:t>700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עובר ובסמוך עטף את האקדח והסכין והטמינם באדמה בסמוך למקלט שליד ביתו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עבר את העבירות שיוחסו לו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בשל גילו הצעיר והצהרת התביעה כי תעתור למאסר בפועל ובהיותו במעצר נתקבל תסקיר 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מהתסקיר נשקפת תמונת חיים עצובה של צעיר בגיל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 xml:space="preserve">שאמו נרצחה בפיגוע ירי בשנת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 xml:space="preserve">בהיותו כבן 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אביו נכה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על רקע נפשי</w:t>
      </w:r>
      <w:r>
        <w:rPr>
          <w:rtl w:val="true"/>
        </w:rPr>
        <w:t xml:space="preserve">, </w:t>
      </w:r>
      <w:r>
        <w:rPr>
          <w:rtl w:val="true"/>
        </w:rPr>
        <w:t>שהקשר שלו עם ילדיו אופיין בריחוק רגשי ועם התאלמנותו הוצאו הילדים למשפחות אומנה</w:t>
      </w:r>
      <w:r>
        <w:rPr>
          <w:rtl w:val="true"/>
        </w:rPr>
        <w:t xml:space="preserve">, </w:t>
      </w:r>
      <w:r>
        <w:rPr>
          <w:rtl w:val="true"/>
        </w:rPr>
        <w:t>וכן – גם קיים ריחוק בין הילדים לבין עצמם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במשך 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 החליף 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משפחות אומנה והתקשה להשתלב</w:t>
      </w:r>
      <w:r>
        <w:rPr>
          <w:rtl w:val="true"/>
        </w:rPr>
        <w:t xml:space="preserve">, </w:t>
      </w:r>
      <w:r>
        <w:rPr>
          <w:rtl w:val="true"/>
        </w:rPr>
        <w:t xml:space="preserve">ובגיל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חזר להתגורר בבית אביו</w:t>
      </w:r>
      <w:r>
        <w:rPr>
          <w:rtl w:val="true"/>
        </w:rPr>
        <w:t>,</w:t>
      </w:r>
      <w:r>
        <w:rPr>
          <w:rtl w:val="true"/>
        </w:rPr>
        <w:t>שהקשר עימו בעייתי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הנאשם התקשה להשיג עבודה ולהתמיד בה גוייס ושוחרר מחוסר התאמה </w:t>
      </w:r>
      <w:r>
        <w:rPr>
          <w:rtl w:val="true"/>
        </w:rPr>
        <w:t xml:space="preserve">, </w:t>
      </w:r>
      <w:r>
        <w:rPr>
          <w:rtl w:val="true"/>
        </w:rPr>
        <w:t>וערב ביצוע העבירות כאמור גר עם אביו</w:t>
      </w:r>
      <w:r>
        <w:rPr>
          <w:rtl w:val="true"/>
        </w:rPr>
        <w:t xml:space="preserve">. </w:t>
      </w:r>
      <w:r>
        <w:rPr>
          <w:rtl w:val="true"/>
        </w:rPr>
        <w:t>בעברו נחשף לשימוש בסמים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 פי תמונה קשה זו של בדידות וקשיים אישיים מצב רגשי מורכב</w:t>
      </w:r>
      <w:r>
        <w:rPr>
          <w:rtl w:val="true"/>
        </w:rPr>
        <w:t xml:space="preserve">, </w:t>
      </w:r>
      <w:r>
        <w:rPr>
          <w:rtl w:val="true"/>
        </w:rPr>
        <w:t>וחסכים עמוקים</w:t>
      </w:r>
      <w:r>
        <w:rPr>
          <w:rtl w:val="true"/>
        </w:rPr>
        <w:t xml:space="preserve">, </w:t>
      </w:r>
      <w:r>
        <w:rPr>
          <w:rtl w:val="true"/>
        </w:rPr>
        <w:t>ובהעדר מודעות באה הערכה לפיה קיים סיכון למעורבות חוזרת בפלילים ובשל הנסיבות הקשות ממליץ ש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להסתפק בתקופת המעצר ולהורות על העמדתו למבחן בנסיון לשמש עבור הנאשם עוגן וגורם תומך ומסייע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התביעה בטיעוניה ותוך הסתמכות על פסיקה עתרה להטלת מאסר בפועל בשל המסוכנות שלצד העבירות וחומרתן</w:t>
      </w:r>
      <w:r>
        <w:rPr>
          <w:rtl w:val="true"/>
        </w:rPr>
        <w:t xml:space="preserve">, </w:t>
      </w:r>
      <w:r>
        <w:rPr>
          <w:rtl w:val="true"/>
        </w:rPr>
        <w:t>על אף העבר הנקי וגם בהתחשב בנסיבות החיים העגומות לפיכך עתרה למאסר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מאסר על תנאי </w:t>
      </w:r>
      <w:r>
        <w:rPr>
          <w:rtl w:val="true"/>
        </w:rPr>
        <w:t xml:space="preserve">, </w:t>
      </w:r>
      <w:r>
        <w:rPr>
          <w:rtl w:val="true"/>
        </w:rPr>
        <w:t>קנס ופיצוי למתלוננים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פישר דורי</w:t>
      </w:r>
      <w:r>
        <w:rPr>
          <w:rtl w:val="true"/>
        </w:rPr>
        <w:t xml:space="preserve">, </w:t>
      </w:r>
      <w:r>
        <w:rPr>
          <w:rtl w:val="true"/>
        </w:rPr>
        <w:t>התייחסה למידת שיתוף הפעולה של הנאשם</w:t>
      </w:r>
      <w:r>
        <w:rPr>
          <w:rtl w:val="true"/>
        </w:rPr>
        <w:t xml:space="preserve">, </w:t>
      </w:r>
      <w:r>
        <w:rPr>
          <w:rtl w:val="true"/>
        </w:rPr>
        <w:t>אשר מיד הודה בכל המיוחס לו</w:t>
      </w:r>
      <w:r>
        <w:rPr>
          <w:rtl w:val="true"/>
        </w:rPr>
        <w:t xml:space="preserve">, </w:t>
      </w:r>
      <w:r>
        <w:rPr>
          <w:rtl w:val="true"/>
        </w:rPr>
        <w:t>כי המדובר בהסתבכות ראשונה עם החוק של צעיר שנסיבות חייו קשות ביותר</w:t>
      </w:r>
      <w:r>
        <w:rPr>
          <w:rtl w:val="true"/>
        </w:rPr>
        <w:t xml:space="preserve">, </w:t>
      </w:r>
      <w:r>
        <w:rPr>
          <w:rtl w:val="true"/>
        </w:rPr>
        <w:t>אשר זקוק לעזרה ומשווע לה</w:t>
      </w:r>
      <w:r>
        <w:rPr>
          <w:rtl w:val="true"/>
        </w:rPr>
        <w:t xml:space="preserve">, </w:t>
      </w:r>
      <w:r>
        <w:rPr>
          <w:rtl w:val="true"/>
        </w:rPr>
        <w:t>והעדר כל מסגרת עבורו</w:t>
      </w:r>
      <w:r>
        <w:rPr>
          <w:rtl w:val="true"/>
        </w:rPr>
        <w:t xml:space="preserve">.  </w:t>
      </w:r>
      <w:r>
        <w:rPr>
          <w:rtl w:val="true"/>
        </w:rPr>
        <w:t>בקשתה על פי אלו לסייע לו בדרך שמציע קצין המבחן ולהמנע מחיובו בקנס ופיצוי שהרי אין לו מקורות מימון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 עצמו לקח אחריות</w:t>
      </w:r>
      <w:r>
        <w:rPr>
          <w:rtl w:val="true"/>
        </w:rPr>
        <w:t xml:space="preserve">, </w:t>
      </w:r>
      <w:r>
        <w:rPr>
          <w:rtl w:val="true"/>
        </w:rPr>
        <w:t>הסביר כי תקף את המדריך כדי להתגונן ואת הנשק לקח כי סבור היה שבעליו אינו שומר עליו טוב והתקשה</w:t>
      </w:r>
      <w:r>
        <w:rPr>
          <w:rtl w:val="true"/>
        </w:rPr>
        <w:t xml:space="preserve">, </w:t>
      </w:r>
      <w:r>
        <w:rPr>
          <w:rtl w:val="true"/>
        </w:rPr>
        <w:t>בבואו להצדיק החזקת הנשק והסכין</w:t>
      </w:r>
      <w:r>
        <w:rPr>
          <w:rtl w:val="true"/>
        </w:rPr>
        <w:t xml:space="preserve">, </w:t>
      </w:r>
      <w:r>
        <w:rPr>
          <w:rtl w:val="true"/>
        </w:rPr>
        <w:t xml:space="preserve">וטענתו כי חש מאויים כל הזמן </w:t>
      </w:r>
      <w:r>
        <w:rPr>
          <w:rtl w:val="true"/>
        </w:rPr>
        <w:t xml:space="preserve">- </w:t>
      </w:r>
      <w:r>
        <w:rPr>
          <w:rtl w:val="true"/>
        </w:rPr>
        <w:t xml:space="preserve">לא בהכרח משקפת את הסיבה לאותה גניבה 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אין ספק בדבר הצורך להחמיר בעבירות נשק בשל הסכנה הטמונה בהחזקתו</w:t>
      </w:r>
      <w:r>
        <w:rPr>
          <w:rtl w:val="true"/>
        </w:rPr>
        <w:t xml:space="preserve">, </w:t>
      </w:r>
      <w:r>
        <w:rPr>
          <w:rtl w:val="true"/>
        </w:rPr>
        <w:t xml:space="preserve">שיש בעצם ההחזקה על ידי מי שאינו מורשה פוטנציאל היכול להוביל </w:t>
      </w:r>
      <w:r>
        <w:rPr>
          <w:rtl w:val="true"/>
        </w:rPr>
        <w:t>"</w:t>
      </w:r>
      <w:r>
        <w:rPr>
          <w:b/>
          <w:b/>
          <w:bCs/>
          <w:rtl w:val="true"/>
        </w:rPr>
        <w:t>להסלמה חמורה ולתוצאות קשות של כל אירוע בו יהיה מעורב אותו נושא 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 אף מקום שהנשק מוחזק למטרות הגנה עצמית</w:t>
      </w:r>
      <w:r>
        <w:rPr>
          <w:rtl w:val="true"/>
        </w:rPr>
        <w:t>" (</w:t>
      </w:r>
      <w:r>
        <w:rPr>
          <w:rtl w:val="true"/>
        </w:rPr>
        <w:t xml:space="preserve">מתוך </w:t>
      </w:r>
      <w:hyperlink r:id="rId1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5921/08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כמו כן ידוע וברור כי יש לתת משקל לסיכון הגלום בהחזקת נשק בעל פוטנציאל קטילה המוחזק על ידי מי שאינו מורשה להחזיקו וללא פיקוח </w:t>
      </w:r>
      <w:r>
        <w:rPr>
          <w:rtl w:val="true"/>
        </w:rPr>
        <w:t>"</w:t>
      </w:r>
      <w:r>
        <w:rPr>
          <w:b/>
          <w:b/>
          <w:bCs/>
          <w:rtl w:val="true"/>
        </w:rPr>
        <w:t>כאשר המחזיק נתון תמיד לסיכון שיתפתה לעשות שימוש בנשק ולו ברגעי לחץ ופחד</w:t>
      </w:r>
      <w:r>
        <w:rPr>
          <w:rtl w:val="true"/>
        </w:rPr>
        <w:t>" (</w:t>
      </w:r>
      <w:r>
        <w:rPr>
          <w:rtl w:val="true"/>
        </w:rPr>
        <w:t xml:space="preserve">מתוך 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3300/06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סנינא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על פי אלו ככלל ההלכה היא כי בגין עבירות החזקת נשק יש להטיל מאסרים בפועל לצורך הרתעת היחיד והחברה </w:t>
      </w:r>
      <w:r>
        <w:rPr>
          <w:rtl w:val="true"/>
        </w:rPr>
        <w:t>"</w:t>
      </w:r>
      <w:r>
        <w:rPr>
          <w:b/>
          <w:b/>
          <w:bCs/>
          <w:rtl w:val="true"/>
        </w:rPr>
        <w:t>ואורך התקופה כרוך בנסיבות הספציפיות של העושה והמעשה</w:t>
      </w:r>
      <w:r>
        <w:rPr>
          <w:rtl w:val="true"/>
        </w:rPr>
        <w:t>" (</w:t>
      </w:r>
      <w:r>
        <w:rPr>
          <w:rtl w:val="true"/>
        </w:rPr>
        <w:t xml:space="preserve">מתוך 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הייתם עוואודה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יחד עם זאת </w:t>
      </w:r>
      <w:r>
        <w:rPr>
          <w:rtl w:val="true"/>
        </w:rPr>
        <w:t xml:space="preserve">, </w:t>
      </w:r>
      <w:r>
        <w:rPr>
          <w:rtl w:val="true"/>
        </w:rPr>
        <w:t xml:space="preserve">עניינו של הנאשם שבפני אינו דומה לזה שנידון שם </w:t>
      </w:r>
      <w:r>
        <w:rPr>
          <w:rtl w:val="true"/>
        </w:rPr>
        <w:t>(</w:t>
      </w:r>
      <w:r>
        <w:rPr>
          <w:rtl w:val="true"/>
        </w:rPr>
        <w:t>ב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) </w:t>
      </w:r>
      <w:r>
        <w:rPr>
          <w:rtl w:val="true"/>
        </w:rPr>
        <w:t>ובמקרה כגון דא חייב ביהמ</w:t>
      </w:r>
      <w:r>
        <w:rPr>
          <w:rtl w:val="true"/>
        </w:rPr>
        <w:t>"</w:t>
      </w:r>
      <w:r>
        <w:rPr>
          <w:rtl w:val="true"/>
        </w:rPr>
        <w:t>ש לשים מול עיניו את האירוע על הרקע האישי של המעורב בו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מה אירע לו לנאשם באותו חג הפורים ניתן לשער</w:t>
      </w:r>
      <w:r>
        <w:rPr>
          <w:rtl w:val="true"/>
        </w:rPr>
        <w:t xml:space="preserve">, </w:t>
      </w:r>
      <w:r>
        <w:rPr>
          <w:rtl w:val="true"/>
        </w:rPr>
        <w:t>אך לא לדעת לבטח</w:t>
      </w:r>
      <w:r>
        <w:rPr>
          <w:rtl w:val="true"/>
        </w:rPr>
        <w:t xml:space="preserve">. </w:t>
      </w:r>
      <w:r>
        <w:rPr>
          <w:rtl w:val="true"/>
        </w:rPr>
        <w:t xml:space="preserve">בחסות האלכוהול ששתייתו מצווה היא </w:t>
      </w:r>
      <w:r>
        <w:rPr>
          <w:rtl w:val="true"/>
        </w:rPr>
        <w:t xml:space="preserve">- </w:t>
      </w:r>
      <w:r>
        <w:rPr>
          <w:rtl w:val="true"/>
        </w:rPr>
        <w:t>איבד עשתונות</w:t>
      </w:r>
      <w:r>
        <w:rPr>
          <w:rtl w:val="true"/>
        </w:rPr>
        <w:t xml:space="preserve">, </w:t>
      </w:r>
      <w:r>
        <w:rPr>
          <w:rtl w:val="true"/>
        </w:rPr>
        <w:t xml:space="preserve">ומי שלא  הסתבך קודם לכן עם החוק למרות בדידותו וכאבו איבד כל רסן </w:t>
      </w:r>
      <w:r>
        <w:rPr>
          <w:rtl w:val="true"/>
        </w:rPr>
        <w:t xml:space="preserve">, </w:t>
      </w:r>
      <w:r>
        <w:rPr>
          <w:rtl w:val="true"/>
        </w:rPr>
        <w:t>עד כי בגין יומיים בחייו הגיע אל מאחורי סורג ובריח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מי שלא הספיק בחייו הצעירים לחוש אהבת אם והבנת אב</w:t>
      </w:r>
      <w:r>
        <w:rPr>
          <w:rtl w:val="true"/>
        </w:rPr>
        <w:t xml:space="preserve">, </w:t>
      </w:r>
      <w:r>
        <w:rPr>
          <w:rtl w:val="true"/>
        </w:rPr>
        <w:t>פרק כל עול והעז לגנוב נשק ולצדו סכין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מה תכנן לא ידוע והוא לא יכול היה להוציא זאת מבין שפתיו ולומר את אשר על ליבו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במידה רבה של וודאות ניתן להניח</w:t>
      </w:r>
      <w:r>
        <w:rPr>
          <w:rtl w:val="true"/>
        </w:rPr>
        <w:t xml:space="preserve">, </w:t>
      </w:r>
      <w:r>
        <w:rPr>
          <w:rtl w:val="true"/>
        </w:rPr>
        <w:t>כי אותה גניבת נשק לא תוכננה</w:t>
      </w:r>
      <w:r>
        <w:rPr>
          <w:rtl w:val="true"/>
        </w:rPr>
        <w:t xml:space="preserve">, </w:t>
      </w:r>
      <w:r>
        <w:rPr>
          <w:rtl w:val="true"/>
        </w:rPr>
        <w:t>אם כי המניפולציה שנעשתה בקשר לבעליו במידה רבה מפתיעה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קצין המבחן חושש כי בשל דפוסי ההתנהגות הבעייתיים ורמת מודעות נמוכה למצבו</w:t>
      </w:r>
      <w:r>
        <w:rPr>
          <w:rtl w:val="true"/>
        </w:rPr>
        <w:t xml:space="preserve">, </w:t>
      </w:r>
      <w:r>
        <w:rPr>
          <w:rtl w:val="true"/>
        </w:rPr>
        <w:t>קיים סיכון למעורבות חוזרת בפלילים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במרווח זה שבין עבר נקי</w:t>
      </w:r>
      <w:r>
        <w:rPr>
          <w:rtl w:val="true"/>
        </w:rPr>
        <w:t xml:space="preserve">, </w:t>
      </w:r>
      <w:r>
        <w:rPr>
          <w:rtl w:val="true"/>
        </w:rPr>
        <w:t>חיים קשים</w:t>
      </w:r>
      <w:r>
        <w:rPr>
          <w:rtl w:val="true"/>
        </w:rPr>
        <w:t xml:space="preserve">, </w:t>
      </w:r>
      <w:r>
        <w:rPr>
          <w:rtl w:val="true"/>
        </w:rPr>
        <w:t xml:space="preserve">מעורבות בעבירה חמורה </w:t>
      </w:r>
      <w:r>
        <w:rPr>
          <w:rtl w:val="true"/>
        </w:rPr>
        <w:t>(</w:t>
      </w:r>
      <w:r>
        <w:rPr>
          <w:rtl w:val="true"/>
        </w:rPr>
        <w:t>גניבת הנשק והחזקתו</w:t>
      </w:r>
      <w:r>
        <w:rPr>
          <w:rtl w:val="true"/>
        </w:rPr>
        <w:t xml:space="preserve">) </w:t>
      </w:r>
      <w:r>
        <w:rPr>
          <w:rtl w:val="true"/>
        </w:rPr>
        <w:t>בריחה אל סמים והשפעת האלכוהול</w:t>
      </w:r>
      <w:r>
        <w:rPr>
          <w:rtl w:val="true"/>
        </w:rPr>
        <w:t xml:space="preserve">, </w:t>
      </w:r>
      <w:r>
        <w:rPr>
          <w:rtl w:val="true"/>
        </w:rPr>
        <w:t>חייב בית המשפט לאזן כך שהענישה תשיג יעד ההרתעה  כלפי הפרט והציבור ותסלול דרך לשיקום</w:t>
      </w:r>
      <w:r>
        <w:rPr>
          <w:rtl w:val="true"/>
        </w:rPr>
        <w:t xml:space="preserve">. </w:t>
      </w:r>
      <w:r>
        <w:rPr>
          <w:rtl w:val="true"/>
        </w:rPr>
        <w:t>אמנם עסקינן בעבירות חמורות</w:t>
      </w:r>
      <w:r>
        <w:rPr>
          <w:rtl w:val="true"/>
        </w:rPr>
        <w:t xml:space="preserve">, </w:t>
      </w:r>
      <w:r>
        <w:rPr>
          <w:rtl w:val="true"/>
        </w:rPr>
        <w:t xml:space="preserve">אלא שמדובר ביומיים בחייו של אדם ששתה לשכרה </w:t>
      </w:r>
      <w:r>
        <w:rPr>
          <w:rtl w:val="true"/>
        </w:rPr>
        <w:t>"</w:t>
      </w:r>
      <w:r>
        <w:rPr>
          <w:rtl w:val="true"/>
        </w:rPr>
        <w:t>עד דלא ידע</w:t>
      </w:r>
      <w:r>
        <w:rPr>
          <w:rtl w:val="true"/>
        </w:rPr>
        <w:t xml:space="preserve">" </w:t>
      </w:r>
      <w:r>
        <w:rPr>
          <w:rtl w:val="true"/>
        </w:rPr>
        <w:t>השתחררו בלמיו ונקלע למקום לא לו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באיזונים אלו</w:t>
      </w:r>
      <w:r>
        <w:rPr>
          <w:rtl w:val="true"/>
        </w:rPr>
        <w:t xml:space="preserve">, </w:t>
      </w:r>
      <w:r>
        <w:rPr>
          <w:rtl w:val="true"/>
        </w:rPr>
        <w:t>וכדי שלא יתדרדר הנאשם למעורבות בחברה עבריינית</w:t>
      </w:r>
      <w:r>
        <w:rPr>
          <w:rtl w:val="true"/>
        </w:rPr>
        <w:t xml:space="preserve">, </w:t>
      </w:r>
      <w:r>
        <w:rPr>
          <w:rtl w:val="true"/>
        </w:rPr>
        <w:t>משהודה ולקח אחריות</w:t>
      </w:r>
      <w:r>
        <w:rPr>
          <w:rtl w:val="true"/>
        </w:rPr>
        <w:t xml:space="preserve">, </w:t>
      </w:r>
      <w:r>
        <w:rPr>
          <w:rtl w:val="true"/>
        </w:rPr>
        <w:t xml:space="preserve">מוצאת אני להטיל עליו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מהם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לרצוי בפועל מיום מעצרו </w:t>
      </w:r>
      <w:r>
        <w:rPr/>
        <w:t>5.3.10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, </w:t>
      </w:r>
      <w:r>
        <w:rPr>
          <w:rtl w:val="true"/>
        </w:rPr>
        <w:t xml:space="preserve">ואת יתר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החודשים לא ירצה אלא אם בתוך שלוש  שנים  מיום שחרורו יחזור יעבור על אחת העבירות בהן הודה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איני  מוצאת לחייב בקנס או בפיצוי ומורה כי תחתם התחייבות בגובה </w:t>
      </w:r>
      <w:r>
        <w:rPr/>
        <w:t>2,000</w:t>
      </w:r>
      <w:r>
        <w:rPr>
          <w:rtl w:val="true"/>
        </w:rPr>
        <w:t xml:space="preserve"> ₪ , </w:t>
      </w:r>
      <w:r>
        <w:rPr>
          <w:rtl w:val="true"/>
        </w:rPr>
        <w:t>תנאיה כפי התנאי שהוטל</w:t>
      </w:r>
      <w:r>
        <w:rPr>
          <w:rtl w:val="true"/>
        </w:rPr>
        <w:t xml:space="preserve">, </w:t>
      </w:r>
      <w:r>
        <w:rPr>
          <w:rtl w:val="true"/>
        </w:rPr>
        <w:t xml:space="preserve">ואם לא תחתם ירצה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ימי 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תשומת לב שב</w:t>
      </w:r>
      <w:r>
        <w:rPr>
          <w:rtl w:val="true"/>
        </w:rPr>
        <w:t>"</w:t>
      </w:r>
      <w:r>
        <w:rPr>
          <w:rtl w:val="true"/>
        </w:rPr>
        <w:t>ס לצורך ולחובה ליצור קשר מיידי מול 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>,</w:t>
      </w:r>
      <w:r>
        <w:rPr>
          <w:rtl w:val="true"/>
        </w:rPr>
        <w:t>בהסכמתו שניתנת במעמד זה בפה מלא</w:t>
      </w:r>
      <w:r>
        <w:rPr>
          <w:rtl w:val="true"/>
        </w:rPr>
        <w:t xml:space="preserve">, </w:t>
      </w:r>
      <w:r>
        <w:rPr>
          <w:rtl w:val="true"/>
        </w:rPr>
        <w:t>יעמוד הנאשם לפיקוח ש</w:t>
      </w:r>
      <w:r>
        <w:rPr>
          <w:rtl w:val="true"/>
        </w:rPr>
        <w:t>"</w:t>
      </w:r>
      <w:r>
        <w:rPr>
          <w:rtl w:val="true"/>
        </w:rPr>
        <w:t>מ למשך שנה מעת שחרורו מן הכלא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אין לי ספק</w:t>
      </w:r>
      <w:r>
        <w:rPr>
          <w:rtl w:val="true"/>
        </w:rPr>
        <w:t xml:space="preserve">, </w:t>
      </w:r>
      <w:r>
        <w:rPr>
          <w:rtl w:val="true"/>
        </w:rPr>
        <w:t>כי קצין המבחן יסייע לנאשם לחזור ולהקלט בחברה</w:t>
      </w:r>
      <w:r>
        <w:rPr>
          <w:rtl w:val="true"/>
        </w:rPr>
        <w:t xml:space="preserve">, </w:t>
      </w:r>
      <w:r>
        <w:rPr>
          <w:rtl w:val="true"/>
        </w:rPr>
        <w:t>ויפנה הנאשם לגורמי הרווחה המתאימים</w:t>
      </w:r>
      <w:r>
        <w:rPr>
          <w:rtl w:val="true"/>
        </w:rPr>
        <w:t xml:space="preserve">, </w:t>
      </w:r>
      <w:r>
        <w:rPr>
          <w:rtl w:val="true"/>
        </w:rPr>
        <w:t>כך שתמצא עבורו עם שחרורו מסגרת לגור בה ולתמוך בו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 עצמו ובסיוע עוה</w:t>
      </w:r>
      <w:r>
        <w:rPr>
          <w:rtl w:val="true"/>
        </w:rPr>
        <w:t>"</w:t>
      </w:r>
      <w:r>
        <w:rPr>
          <w:rtl w:val="true"/>
        </w:rPr>
        <w:t>ד הגב</w:t>
      </w:r>
      <w:r>
        <w:rPr>
          <w:rtl w:val="true"/>
        </w:rPr>
        <w:t xml:space="preserve">' </w:t>
      </w:r>
      <w:r>
        <w:rPr>
          <w:rtl w:val="true"/>
        </w:rPr>
        <w:t>דורי והס</w:t>
      </w:r>
      <w:r>
        <w:rPr>
          <w:rtl w:val="true"/>
        </w:rPr>
        <w:t>"</w:t>
      </w:r>
      <w:r>
        <w:rPr>
          <w:rtl w:val="true"/>
        </w:rPr>
        <w:t>צ ייצרו קשר עם לשכת הסיוע המשפטי כדי להעזר בכל גורם אפשרי ולשקם הנאשם</w:t>
      </w:r>
      <w:r>
        <w:rPr>
          <w:rtl w:val="true"/>
        </w:rPr>
        <w:t>.</w:t>
      </w:r>
      <w:r>
        <w:br w:type="page"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double"/>
        </w:rPr>
      </w:pPr>
      <w:r>
        <w:rPr>
          <w:rtl w:val="true"/>
        </w:rPr>
        <w:tab/>
      </w:r>
      <w:r>
        <w:rPr>
          <w:b/>
          <w:b/>
          <w:bCs/>
          <w:u w:val="double"/>
          <w:rtl w:val="true"/>
        </w:rPr>
        <w:t>זכות ערעור לביהמ</w:t>
      </w:r>
      <w:r>
        <w:rPr>
          <w:b/>
          <w:bCs/>
          <w:u w:val="double"/>
          <w:rtl w:val="true"/>
        </w:rPr>
        <w:t>"</w:t>
      </w:r>
      <w:r>
        <w:rPr>
          <w:b/>
          <w:b/>
          <w:bCs/>
          <w:u w:val="double"/>
          <w:rtl w:val="true"/>
        </w:rPr>
        <w:t xml:space="preserve">ש המחוזי תוך </w:t>
      </w:r>
      <w:r>
        <w:rPr>
          <w:b/>
          <w:bCs/>
          <w:u w:val="double"/>
        </w:rPr>
        <w:t>45</w:t>
      </w:r>
      <w:r>
        <w:rPr>
          <w:b/>
          <w:bCs/>
          <w:u w:val="double"/>
          <w:rtl w:val="true"/>
        </w:rPr>
        <w:t xml:space="preserve"> </w:t>
      </w:r>
      <w:r>
        <w:rPr>
          <w:b/>
          <w:b/>
          <w:bCs/>
          <w:u w:val="double"/>
          <w:rtl w:val="true"/>
        </w:rPr>
        <w:t>יום</w:t>
      </w:r>
      <w:r>
        <w:rPr>
          <w:b/>
          <w:bCs/>
          <w:u w:val="double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double"/>
        </w:rPr>
      </w:pPr>
      <w:r>
        <w:rPr>
          <w:b/>
          <w:bCs/>
          <w:u w:val="doub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tl w:val="true"/>
        </w:rPr>
        <w:t>סכין תושמד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קלטת ומיני דיסק שנתפסו יוחזרו לבעליהם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סיון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25/05/2010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ליה לב און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לבאון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סגנית נשיאה</w:t>
            </w:r>
          </w:p>
        </w:tc>
      </w:tr>
    </w:tbl>
    <w:p>
      <w:pPr>
        <w:pStyle w:val="Normal"/>
        <w:spacing w:lineRule="auto" w:line="360"/>
        <w:ind w:hanging="720" w:start="720"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נילי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קופרמן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/Users/liorb/Downloads/study2025-p2/SH-10-03-19675-676.doc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19675-03-10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אוריאל סיטון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עציר</w:t>
    </w:r>
    <w:r>
      <w:rPr>
        <w:color w:val="000000"/>
        <w:sz w:val="22"/>
        <w:szCs w:val="22"/>
        <w:rtl w:val="true"/>
      </w:rPr>
      <w:t>)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86.a" TargetMode="External"/><Relationship Id="rId5" Type="http://schemas.openxmlformats.org/officeDocument/2006/relationships/hyperlink" Target="http://www.nevo.co.il/law/70301/380" TargetMode="External"/><Relationship Id="rId6" Type="http://schemas.openxmlformats.org/officeDocument/2006/relationships/hyperlink" Target="http://www.nevo.co.il/law/70301/384" TargetMode="External"/><Relationship Id="rId7" Type="http://schemas.openxmlformats.org/officeDocument/2006/relationships/hyperlink" Target="http://www.nevo.co.il/law/70301/380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84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86.a" TargetMode="External"/><Relationship Id="rId12" Type="http://schemas.openxmlformats.org/officeDocument/2006/relationships/hyperlink" Target="http://www.nevo.co.il/case/6040482" TargetMode="External"/><Relationship Id="rId13" Type="http://schemas.openxmlformats.org/officeDocument/2006/relationships/hyperlink" Target="http://www.nevo.co.il/case/5887664" TargetMode="External"/><Relationship Id="rId14" Type="http://schemas.openxmlformats.org/officeDocument/2006/relationships/hyperlink" Target="http://www.nevo.co.il/case/6000182" TargetMode="External"/><Relationship Id="rId15" Type="http://schemas.openxmlformats.org/officeDocument/2006/relationships/hyperlink" Target="http://www.nevo.co.il/case/6000182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2016-07-04T15:36:00Z</dcterms:created>
  <dc:creator> </dc:creator>
  <dc:description/>
  <cp:keywords/>
  <dc:language>en-IL</dc:language>
  <cp:lastModifiedBy>hofit</cp:lastModifiedBy>
  <dcterms:modified xsi:type="dcterms:W3CDTF">2016-07-04T15:36:00Z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אוריאל סיטון (עציר)</vt:lpwstr>
  </property>
  <property fmtid="{D5CDD505-2E9C-101B-9397-08002B2CF9AE}" pid="4" name="CASESLISTTMP1">
    <vt:lpwstr>6040482;5887664;6000182:2</vt:lpwstr>
  </property>
  <property fmtid="{D5CDD505-2E9C-101B-9397-08002B2CF9AE}" pid="5" name="CITY">
    <vt:lpwstr>פ"ת</vt:lpwstr>
  </property>
  <property fmtid="{D5CDD505-2E9C-101B-9397-08002B2CF9AE}" pid="6" name="DATE">
    <vt:lpwstr>20100525</vt:lpwstr>
  </property>
  <property fmtid="{D5CDD505-2E9C-101B-9397-08002B2CF9AE}" pid="7" name="DELEMATA">
    <vt:lpwstr/>
  </property>
  <property fmtid="{D5CDD505-2E9C-101B-9397-08002B2CF9AE}" pid="8" name="JUDGE">
    <vt:lpwstr>ליה לב און</vt:lpwstr>
  </property>
  <property fmtid="{D5CDD505-2E9C-101B-9397-08002B2CF9AE}" pid="9" name="LAWLISTTMP1">
    <vt:lpwstr>70301/380;384;144.a;186.a</vt:lpwstr>
  </property>
  <property fmtid="{D5CDD505-2E9C-101B-9397-08002B2CF9AE}" pid="10" name="LAWYER">
    <vt:lpwstr>רייס;אוריאל סיטון;דורי פישר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19675</vt:lpwstr>
  </property>
  <property fmtid="{D5CDD505-2E9C-101B-9397-08002B2CF9AE}" pid="24" name="NEWPARTB">
    <vt:lpwstr>03</vt:lpwstr>
  </property>
  <property fmtid="{D5CDD505-2E9C-101B-9397-08002B2CF9AE}" pid="25" name="NEWPARTC">
    <vt:lpwstr>10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RemarkFileName">
    <vt:lpwstr>shalom sh 10 03 19675 676 htm</vt:lpwstr>
  </property>
  <property fmtid="{D5CDD505-2E9C-101B-9397-08002B2CF9AE}" pid="35" name="TYPE">
    <vt:lpwstr>3</vt:lpwstr>
  </property>
  <property fmtid="{D5CDD505-2E9C-101B-9397-08002B2CF9AE}" pid="36" name="TYPE_ABS_DATE">
    <vt:lpwstr>380020100525</vt:lpwstr>
  </property>
  <property fmtid="{D5CDD505-2E9C-101B-9397-08002B2CF9AE}" pid="37" name="TYPE_N_DATE">
    <vt:lpwstr>38020100525</vt:lpwstr>
  </property>
  <property fmtid="{D5CDD505-2E9C-101B-9397-08002B2CF9AE}" pid="38" name="VOLUME">
    <vt:lpwstr/>
  </property>
  <property fmtid="{D5CDD505-2E9C-101B-9397-08002B2CF9AE}" pid="39" name="WORDNUMPAGES">
    <vt:lpwstr>5</vt:lpwstr>
  </property>
</Properties>
</file>