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19759-07-21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tabs>
          <w:tab w:val="clear" w:pos="720"/>
          <w:tab w:val="left" w:pos="1140" w:leader="none"/>
        </w:tabs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חאלד עודה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צלניקר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cs="David"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hyperlink r:id="rId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144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רישא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וסיפא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hyperlink r:id="rId5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התשל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1977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4.6.21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שהתקיימה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וליה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ובתוכו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בכדורים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bookmarkStart w:id="9" w:name="ABSTRACT_END"/>
      <w:bookmarkEnd w:id="9"/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עיקרי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1.2.22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הצהירה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שתעתור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מתפקד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למחייתו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נחשף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למעורבות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בפיקוח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ריגוש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תמצית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צלניקר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לאימוץ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מתעלם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ומיהותו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התנצל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והבטיח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ההליך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עקרונות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הבניית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השיפוטי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להוראות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תיקון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113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העיקרון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המנחה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ההלימה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שפירושו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ובמידת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המוטל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בדרכו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למעשה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המוגן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ובנסיבותיה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הקונקרטיות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לחרוג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לחומרא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התחשבות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העושה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ובנפש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והתפשטות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ובקרב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מוסדר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טומן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המחזיק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שיתפתה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ברגעי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ופחד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אלכרים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19.1.2014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7502/12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כוויס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25.6.2013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לסוגיהן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מגלמות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ובטחונו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יתגלגלו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בעתיד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צו השעה הוא להחמיר בענישה בגין עבירות 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תוך מתן משקל בכורה לשיקולי הרתעה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אף אם הנאשמים נעדרי עבר פלילי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והאירוע הוא בגדר חריג בנוף חייהם הנורמטיבי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ההלכה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שהורשע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לבכר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האינטרס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שבהרתעת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הנידון</w:t>
      </w:r>
      <w:r>
        <w:rPr>
          <w:rFonts w:cs="David"/>
          <w:sz w:val="24"/>
          <w:szCs w:val="24"/>
          <w:rtl w:val="true"/>
        </w:rPr>
        <w:t>" (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587/22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עדאב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נאעסה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22.5.2022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hyperlink r:id="rId9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אחמד קדורה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פסקה </w:t>
      </w:r>
      <w:r>
        <w:rPr>
          <w:rFonts w:eastAsia="David" w:cs="David" w:ascii="David" w:hAnsi="David"/>
          <w:sz w:val="24"/>
          <w:szCs w:val="24"/>
        </w:rPr>
        <w:t>5-6</w:t>
      </w:r>
      <w:r>
        <w:rPr>
          <w:rFonts w:eastAsia="David" w:cs="David" w:ascii="David" w:hAnsi="David"/>
          <w:sz w:val="24"/>
          <w:szCs w:val="24"/>
          <w:rtl w:val="true"/>
        </w:rPr>
        <w:t xml:space="preserve"> (</w:t>
      </w:r>
      <w:r>
        <w:rPr>
          <w:rFonts w:eastAsia="David" w:cs="David" w:ascii="David" w:hAnsi="David"/>
          <w:sz w:val="24"/>
          <w:szCs w:val="24"/>
        </w:rPr>
        <w:t>14.4.2022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0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5813/21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מוחמד ג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בארין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פסקה </w:t>
      </w:r>
      <w:r>
        <w:rPr>
          <w:rFonts w:eastAsia="David" w:cs="David" w:ascii="David" w:hAnsi="David"/>
          <w:sz w:val="24"/>
          <w:szCs w:val="24"/>
        </w:rPr>
        <w:t>14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31.5.2022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1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6011/21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חאלד דסוקי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מדנית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25.11.2021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2">
        <w:r>
          <w:rPr>
            <w:rStyle w:val="Hyperlink"/>
            <w:rFonts w:ascii="David" w:hAnsi="David" w:eastAsia="David" w:cs="David"/>
            <w:color w:val="0000FF"/>
            <w:spacing w:val="10"/>
            <w:sz w:val="20"/>
            <w:sz w:val="20"/>
            <w:szCs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szCs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pacing w:val="10"/>
            <w:sz w:val="20"/>
            <w:sz w:val="20"/>
            <w:szCs w:val="24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szCs w:val="24"/>
            <w:u w:val="single"/>
            <w:shd w:fill="FFFFFF" w:val="clear"/>
          </w:rPr>
          <w:t>8320/21</w:t>
        </w:r>
      </w:hyperlink>
      <w:r>
        <w:rPr>
          <w:rFonts w:eastAsia="David" w:cs="David" w:ascii="David" w:hAnsi="David"/>
          <w:spacing w:val="10"/>
          <w:sz w:val="20"/>
          <w:szCs w:val="24"/>
          <w:shd w:fill="FFFFFF" w:val="clear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>מדינת ישראל נ</w:t>
      </w:r>
      <w:r>
        <w:rPr>
          <w:rFonts w:eastAsia="David" w:cs="David" w:ascii="David" w:hAnsi="David"/>
          <w:b/>
          <w:bCs/>
          <w:spacing w:val="10"/>
          <w:sz w:val="20"/>
          <w:szCs w:val="24"/>
          <w:shd w:fill="FFFFFF" w:val="clear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>מחמד בסילה</w:t>
      </w:r>
      <w:r>
        <w:rPr>
          <w:rFonts w:eastAsia="David" w:cs="David" w:ascii="David" w:hAnsi="David"/>
          <w:spacing w:val="10"/>
          <w:sz w:val="20"/>
          <w:szCs w:val="24"/>
          <w:shd w:fill="FFFFFF" w:val="clear"/>
          <w:rtl w:val="true"/>
        </w:rPr>
        <w:t xml:space="preserve">, </w:t>
      </w:r>
      <w:r>
        <w:rPr>
          <w:rFonts w:ascii="David" w:hAnsi="David" w:eastAsia="David" w:cs="David"/>
          <w:spacing w:val="10"/>
          <w:sz w:val="20"/>
          <w:sz w:val="20"/>
          <w:szCs w:val="24"/>
          <w:shd w:fill="FFFFFF" w:val="clear"/>
          <w:rtl w:val="true"/>
        </w:rPr>
        <w:t xml:space="preserve">פסקה </w:t>
      </w:r>
      <w:r>
        <w:rPr>
          <w:rFonts w:eastAsia="David" w:cs="David" w:ascii="David" w:hAnsi="David"/>
          <w:spacing w:val="10"/>
          <w:sz w:val="20"/>
          <w:szCs w:val="24"/>
          <w:shd w:fill="FFFFFF" w:val="clear"/>
        </w:rPr>
        <w:t>10</w:t>
      </w:r>
      <w:r>
        <w:rPr>
          <w:rFonts w:eastAsia="David" w:cs="David" w:ascii="David" w:hAnsi="David"/>
          <w:spacing w:val="10"/>
          <w:sz w:val="20"/>
          <w:szCs w:val="24"/>
          <w:shd w:fill="FFFFFF" w:val="clear"/>
          <w:rtl w:val="true"/>
        </w:rPr>
        <w:t xml:space="preserve"> (</w:t>
      </w:r>
      <w:r>
        <w:rPr>
          <w:rFonts w:eastAsia="David" w:cs="David" w:ascii="David" w:hAnsi="David"/>
          <w:spacing w:val="10"/>
          <w:sz w:val="20"/>
          <w:szCs w:val="24"/>
          <w:shd w:fill="FFFFFF" w:val="clear"/>
        </w:rPr>
        <w:t>28.12.2021</w:t>
      </w:r>
      <w:r>
        <w:rPr>
          <w:rFonts w:eastAsia="David" w:cs="David" w:ascii="David" w:hAnsi="David"/>
          <w:spacing w:val="10"/>
          <w:sz w:val="20"/>
          <w:szCs w:val="24"/>
          <w:shd w:fill="FFFFFF" w:val="clear"/>
          <w:rtl w:val="true"/>
        </w:rPr>
        <w:t>)</w:t>
      </w:r>
      <w:r>
        <w:rPr>
          <w:rFonts w:eastAsia="David" w:cs="David" w:ascii="David" w:hAnsi="David"/>
          <w:sz w:val="24"/>
          <w:szCs w:val="24"/>
          <w:rtl w:val="true"/>
        </w:rPr>
        <w:t xml:space="preserve">; </w:t>
      </w:r>
      <w:hyperlink r:id="rId13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2283/22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אל נבארי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31.7.2022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4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78/21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26.7.2022</w:t>
      </w:r>
      <w:r>
        <w:rPr>
          <w:rFonts w:eastAsia="David" w:cs="David" w:ascii="David" w:hAnsi="David"/>
          <w:sz w:val="24"/>
          <w:szCs w:val="24"/>
          <w:rtl w:val="true"/>
        </w:rPr>
        <w:t>)).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מגמה זו באה לידי ביטוי גם בחקיקה במסגרת תיקון </w:t>
      </w:r>
      <w:r>
        <w:rPr>
          <w:rFonts w:eastAsia="David" w:cs="David" w:ascii="David" w:hAnsi="David"/>
          <w:sz w:val="24"/>
          <w:szCs w:val="24"/>
        </w:rPr>
        <w:t>140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לחוק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שאינו חל בענייננו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בו נקבעו עונשי מינימום לעבירות 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המשתתפים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ובנפש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עתירתה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צודקת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ומוביליו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cs="David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5602/22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30-42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: 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1695/22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גנאים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29.3.2022</w:t>
      </w:r>
      <w:r>
        <w:rPr>
          <w:rFonts w:cs="David"/>
          <w:sz w:val="24"/>
          <w:szCs w:val="24"/>
          <w:rtl w:val="true"/>
        </w:rPr>
        <w:t xml:space="preserve">); 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166/22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טאהא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1.6.2022</w:t>
      </w:r>
      <w:r>
        <w:rPr>
          <w:rFonts w:cs="David"/>
          <w:sz w:val="24"/>
          <w:szCs w:val="24"/>
          <w:rtl w:val="true"/>
        </w:rPr>
        <w:t xml:space="preserve">); </w:t>
      </w:r>
      <w:hyperlink r:id="rId18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6021/21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עלי עבוד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19.12.2021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9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1658/22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איהאב נח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אש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19.6.2022</w:t>
      </w:r>
      <w:r>
        <w:rPr>
          <w:rFonts w:eastAsia="David" w:cs="David" w:ascii="David" w:hAnsi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ייסוגו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8012/04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16.11.2005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עתירתה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עוד מצאתי טעם בטיעוני ב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 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כי במשך שנים רבות תופעת יריות השמחה בחתונות לא טופלה ולא בוצעה אכיפה בתחום זה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מכאן שההחמרה בענישה בעבירות בנסיבות דומות צריכה להתבצע בהדרגה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לפיכך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אני קובעת מתחם ענישה שנע בין </w:t>
      </w:r>
      <w:r>
        <w:rPr>
          <w:rFonts w:eastAsia="David" w:cs="David" w:ascii="David" w:hAnsi="David"/>
          <w:b/>
          <w:bCs/>
          <w:sz w:val="24"/>
          <w:szCs w:val="24"/>
        </w:rPr>
        <w:t>16-30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תסקירו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יניים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בנתוניו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מנעות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לדאבון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רובם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שמבצעים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ריגוש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והתרברבות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הסובבים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כזכור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המלצות שירות המבחן אינן מחייבות את בית המשפט וביכולתו לסטות ממנה מטעמים מוצדקים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2048/18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 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14.11.2018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 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שבחנתי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גוזרת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16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4.7.21-21.7.21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ורצופים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</w:rPr>
        <w:t>.23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יקוזז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מההפקדה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הנלווה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15.1.23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הערבויות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הכספיות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קיזוז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ישמשו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להבטחת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התייצבותו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עיכוב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מהארץ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בתוקף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1646" w:leader="none"/>
        </w:tabs>
        <w:spacing w:lineRule="auto" w:line="360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b/>
          <w:bCs/>
          <w:color w:val="FFFFFF"/>
          <w:sz w:val="2"/>
          <w:szCs w:val="2"/>
        </w:rPr>
        <w:t>54678313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זכות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ערעור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העליון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19759-07-21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7791493" TargetMode="External"/><Relationship Id="rId7" Type="http://schemas.openxmlformats.org/officeDocument/2006/relationships/hyperlink" Target="http://www.nevo.co.il/case/5601503" TargetMode="External"/><Relationship Id="rId8" Type="http://schemas.openxmlformats.org/officeDocument/2006/relationships/hyperlink" Target="http://www.nevo.co.il/case/28268880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7894608" TargetMode="External"/><Relationship Id="rId11" Type="http://schemas.openxmlformats.org/officeDocument/2006/relationships/hyperlink" Target="http://www.nevo.co.il/case/27911638" TargetMode="External"/><Relationship Id="rId12" Type="http://schemas.openxmlformats.org/officeDocument/2006/relationships/hyperlink" Target="http://www.nevo.co.il/case/28152132" TargetMode="External"/><Relationship Id="rId13" Type="http://schemas.openxmlformats.org/officeDocument/2006/relationships/hyperlink" Target="http://www.nevo.co.il/case/28452933" TargetMode="External"/><Relationship Id="rId14" Type="http://schemas.openxmlformats.org/officeDocument/2006/relationships/hyperlink" Target="http://www.nevo.co.il/case/27305799" TargetMode="External"/><Relationship Id="rId15" Type="http://schemas.openxmlformats.org/officeDocument/2006/relationships/hyperlink" Target="http://www.nevo.co.il/case/28883087" TargetMode="External"/><Relationship Id="rId16" Type="http://schemas.openxmlformats.org/officeDocument/2006/relationships/hyperlink" Target="http://www.nevo.co.il/case/28384637" TargetMode="External"/><Relationship Id="rId17" Type="http://schemas.openxmlformats.org/officeDocument/2006/relationships/hyperlink" Target="http://www.nevo.co.il/case/28229995" TargetMode="External"/><Relationship Id="rId18" Type="http://schemas.openxmlformats.org/officeDocument/2006/relationships/hyperlink" Target="http://www.nevo.co.il/case/27911655" TargetMode="External"/><Relationship Id="rId19" Type="http://schemas.openxmlformats.org/officeDocument/2006/relationships/hyperlink" Target="http://www.nevo.co.il/case/28380863" TargetMode="External"/><Relationship Id="rId20" Type="http://schemas.openxmlformats.org/officeDocument/2006/relationships/hyperlink" Target="http://www.nevo.co.il/case/6118595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6</Pages>
  <Words>1319</Words>
  <Characters>6308</Characters>
  <CharactersWithSpaces>7621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2023-09-28T10:37:00Z</dcterms:created>
  <dc:creator> </dc:creator>
  <dc:description/>
  <cp:keywords/>
  <dc:language>en-IL</dc:language>
  <cp:lastModifiedBy>h1</cp:lastModifiedBy>
  <dcterms:modified xsi:type="dcterms:W3CDTF">2023-09-28T10:37:00Z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7791493;5601503;28268880;28513828;27894608;27911638;28152132;28452933;27305799;28883087;28384637;28229995;27911655;28380863;6118595</vt:lpwstr>
  </property>
  <property fmtid="{D5CDD505-2E9C-101B-9397-08002B2CF9AE}" pid="9" name="CITY">
    <vt:lpwstr>מרכז</vt:lpwstr>
  </property>
  <property fmtid="{D5CDD505-2E9C-101B-9397-08002B2CF9AE}" pid="10" name="DATE">
    <vt:lpwstr>20221107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</vt:lpwstr>
  </property>
  <property fmtid="{D5CDD505-2E9C-101B-9397-08002B2CF9AE}" pid="15" name="LAWYER">
    <vt:lpwstr>ליטל שירי;ערן צלניקר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19759</vt:lpwstr>
  </property>
  <property fmtid="{D5CDD505-2E9C-101B-9397-08002B2CF9AE}" pid="22" name="NEWPARTB">
    <vt:lpwstr>07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390020221107</vt:lpwstr>
  </property>
  <property fmtid="{D5CDD505-2E9C-101B-9397-08002B2CF9AE}" pid="34" name="TYPE_N_DATE">
    <vt:lpwstr>39020221107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