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19921-04-14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מסיקה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2014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הישאם  אבו שחאדה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פרקליטות מחוז מרכז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שמואל מיכאל מסיקה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בא כוח נאשם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>רועי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>פוליטי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מאשימה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פרקליטות מחוז מרכז – באמצעות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רועי 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 xml:space="preserve">נאשם </w:t>
      </w:r>
      <w:r>
        <w:rPr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   </w:t>
      </w:r>
      <w:r>
        <w:rPr>
          <w:u w:val="none"/>
          <w:rtl w:val="true"/>
        </w:rPr>
        <w:t>שמואל מיכאל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מסיקה – נוכח 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end="0"/>
        <w:jc w:val="start"/>
        <w:rPr/>
      </w:pPr>
      <w:bookmarkStart w:id="8" w:name="ABSTRACT_START"/>
      <w:bookmarkEnd w:id="8"/>
      <w:r>
        <w:rPr>
          <w:rtl w:val="true"/>
        </w:rPr>
        <w:t>הנאשם הורשע על פי הודאתו בעובדות כתב האישום המתוקן בביצוען של העבירות הבאות</w:t>
      </w:r>
      <w:r>
        <w:rPr>
          <w:rtl w:val="true"/>
        </w:rPr>
        <w:t xml:space="preserve">: </w:t>
      </w:r>
      <w:r>
        <w:rPr>
          <w:rtl w:val="true"/>
        </w:rPr>
        <w:t xml:space="preserve">איומים לפי </w:t>
      </w:r>
      <w:hyperlink r:id="rId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 העונשין</w:t>
      </w:r>
      <w:r>
        <w:rPr>
          <w:rtl w:val="true"/>
        </w:rPr>
        <w:t xml:space="preserve">), </w:t>
      </w:r>
      <w:r>
        <w:rPr>
          <w:rtl w:val="true"/>
        </w:rPr>
        <w:t xml:space="preserve">תקיפת סתם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 xml:space="preserve">מעשה פזיזות ורשלנות לפי </w:t>
      </w:r>
      <w:hyperlink r:id="rId1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העונשין וירי באזור מגורים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הנאשם והמתלונן עבדו יחד באתר בניה ביישוב נריה</w:t>
      </w:r>
      <w:r>
        <w:rPr>
          <w:rtl w:val="true"/>
        </w:rPr>
        <w:t xml:space="preserve">. </w:t>
      </w:r>
      <w:r>
        <w:rPr>
          <w:rtl w:val="true"/>
        </w:rPr>
        <w:t>הנאשם עבד כנהג ציוד מכאני הנדסי והמתלונן הינו מנהל עבודה באתר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30.3.14</w:t>
      </w:r>
      <w:r>
        <w:rPr>
          <w:rtl w:val="true"/>
        </w:rPr>
        <w:t xml:space="preserve">, </w:t>
      </w:r>
      <w:r>
        <w:rPr>
          <w:rtl w:val="true"/>
        </w:rPr>
        <w:t>הגיע המתלונן לשאר היישוב במטרה להכניס פועלים פלסטינאים ליישוב</w:t>
      </w:r>
      <w:r>
        <w:rPr>
          <w:rtl w:val="true"/>
        </w:rPr>
        <w:t xml:space="preserve">. </w:t>
      </w:r>
      <w:r>
        <w:rPr>
          <w:rtl w:val="true"/>
        </w:rPr>
        <w:t>הנאשם נכח במקום בסמוך למתלונן</w:t>
      </w:r>
      <w:r>
        <w:rPr>
          <w:rtl w:val="true"/>
        </w:rPr>
        <w:t xml:space="preserve">. </w:t>
      </w:r>
      <w:r>
        <w:rPr>
          <w:rtl w:val="true"/>
        </w:rPr>
        <w:t>בעת בדיקת הפועלים בכניסה ליישוב נוצרה תקרית בטחונית שבגינה הובאו לאירוע סייר ביטחון ורכז הביטחון של היישוב</w:t>
      </w:r>
      <w:r>
        <w:rPr>
          <w:rtl w:val="true"/>
        </w:rPr>
        <w:t xml:space="preserve">. </w:t>
      </w:r>
      <w:r>
        <w:rPr>
          <w:rtl w:val="true"/>
        </w:rPr>
        <w:t>בעקבות התקרית שלל רכב הביטחון של היישוב את סמכותו להכניס פועלים לאתר</w:t>
      </w:r>
      <w:r>
        <w:rPr>
          <w:rtl w:val="true"/>
        </w:rPr>
        <w:t xml:space="preserve">. </w:t>
      </w:r>
      <w:r>
        <w:rPr>
          <w:rtl w:val="true"/>
        </w:rPr>
        <w:t>הנאשם ראה במתלונן כמי שאשם בשלילת סמכות זו</w:t>
      </w:r>
      <w:r>
        <w:rPr>
          <w:rtl w:val="true"/>
        </w:rPr>
        <w:t xml:space="preserve">. </w:t>
      </w:r>
      <w:r>
        <w:rPr>
          <w:rtl w:val="true"/>
        </w:rPr>
        <w:t>בהמשך לאמור לעיל</w:t>
      </w:r>
      <w:r>
        <w:rPr>
          <w:rtl w:val="true"/>
        </w:rPr>
        <w:t xml:space="preserve">, </w:t>
      </w:r>
      <w:r>
        <w:rPr>
          <w:rtl w:val="true"/>
        </w:rPr>
        <w:t>החל ויכוח בין המתלונן לנאשם בנוגע לתקרית שארעה בבוקר והויכוח הסלים לצעקות הדדיות ונפנופי ידיים האחד לעבר השני</w:t>
      </w:r>
      <w:r>
        <w:rPr>
          <w:rtl w:val="true"/>
        </w:rPr>
        <w:t xml:space="preserve">. </w:t>
      </w:r>
      <w:r>
        <w:rPr>
          <w:rtl w:val="true"/>
        </w:rPr>
        <w:t>בשלב זה התקרב הנאשם במהירות לעבר המתלונן כשהוא אוחז בידו הימנית בסכין יפנית סגורה</w:t>
      </w:r>
      <w:r>
        <w:rPr>
          <w:rtl w:val="true"/>
        </w:rPr>
        <w:t xml:space="preserve">, </w:t>
      </w:r>
      <w:r>
        <w:rPr>
          <w:rtl w:val="true"/>
        </w:rPr>
        <w:t>ששימשה אותו לעבודתו ומכוונה לעבר צווארו של המתלונן</w:t>
      </w:r>
      <w:r>
        <w:rPr>
          <w:rtl w:val="true"/>
        </w:rPr>
        <w:t xml:space="preserve">, </w:t>
      </w:r>
      <w:r>
        <w:rPr>
          <w:rtl w:val="true"/>
        </w:rPr>
        <w:t>תוך שהוא דוחף את המתלונן אחורנית באמצעות ידו השמאלית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שלף המתלונן את נשקו האישי</w:t>
      </w:r>
      <w:r>
        <w:rPr>
          <w:rtl w:val="true"/>
        </w:rPr>
        <w:t xml:space="preserve">, </w:t>
      </w:r>
      <w:r>
        <w:rPr>
          <w:rtl w:val="true"/>
        </w:rPr>
        <w:t>דרך אותו</w:t>
      </w:r>
      <w:r>
        <w:rPr>
          <w:rtl w:val="true"/>
        </w:rPr>
        <w:t xml:space="preserve">, </w:t>
      </w:r>
      <w:r>
        <w:rPr>
          <w:rtl w:val="true"/>
        </w:rPr>
        <w:t>כוונו לעבר הנאשם ודרש ממנו להתרחק ממנו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שלף הנאשם את נשקו האישי וביצע ירי צמוד מעל כתפו ולצד אזנו השמאלית של המתלונן לעבר כיוון הוואדי ובתי המגורים ביישוב</w:t>
      </w:r>
      <w:r>
        <w:rPr>
          <w:rtl w:val="true"/>
        </w:rPr>
        <w:t xml:space="preserve">. </w:t>
      </w:r>
      <w:r>
        <w:rPr>
          <w:rtl w:val="true"/>
        </w:rPr>
        <w:t>בעקבות הירי שביצע הנאשם נפגעה שמיעתו של המתלונן והוא סובל מטנטון באוזנו ואיבוד שיווי משקל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לנאשם אין עבר פלילי קודם והינו כיום בן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אב לארבעה ילדים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ההסדר שאליו הגיעו הצדדים הוא סביר ובכוונתי 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בנוגע לרכיב הפיצוי</w:t>
      </w:r>
      <w:r>
        <w:rPr>
          <w:rtl w:val="true"/>
        </w:rPr>
        <w:t xml:space="preserve">, </w:t>
      </w:r>
      <w:r>
        <w:rPr>
          <w:rtl w:val="true"/>
        </w:rPr>
        <w:t>שעליו נסובה המחלוקת</w:t>
      </w:r>
      <w:r>
        <w:rPr>
          <w:rtl w:val="true"/>
        </w:rPr>
        <w:t xml:space="preserve">, </w:t>
      </w:r>
      <w:r>
        <w:rPr>
          <w:rtl w:val="true"/>
        </w:rPr>
        <w:t>למרות העובדה שהיה אשם תורם למתלונן בהתפתחות האירוע כפי שמתואר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אך לא ניתן להתעלם מהעובדה שבסופו של יום נגרם נזק למתלונן עקב הירי שבוצע  על </w:t>
      </w:r>
      <w:r>
        <w:rPr>
          <w:rtl w:val="true"/>
        </w:rPr>
        <w:t xml:space="preserve">- </w:t>
      </w:r>
      <w:r>
        <w:rPr>
          <w:rtl w:val="true"/>
        </w:rPr>
        <w:t>ידי הנאשם ואשר מתבטא בטנטון באוזנו ואיבוד שיווי משקל</w:t>
      </w:r>
      <w:r>
        <w:rPr>
          <w:rtl w:val="true"/>
        </w:rPr>
        <w:t xml:space="preserve">. </w:t>
      </w:r>
      <w:r>
        <w:rPr>
          <w:rtl w:val="true"/>
        </w:rPr>
        <w:t>על נזק זה יש לפצות את 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 xml:space="preserve">לגבי הבקשה של ההגנה שהנאשם ירצה את עבודות השירות במקום אחר מזה שנקבע  על </w:t>
      </w:r>
      <w:r>
        <w:rPr>
          <w:rtl w:val="true"/>
        </w:rPr>
        <w:t xml:space="preserve">- </w:t>
      </w:r>
      <w:r>
        <w:rPr>
          <w:rtl w:val="true"/>
        </w:rPr>
        <w:t xml:space="preserve">ידי הממונה בעבודות השירות בחוות הדעת שהוגשה לתיק בית משפט ביום </w:t>
      </w:r>
      <w:r>
        <w:rPr/>
        <w:t>14.9.14</w:t>
      </w:r>
      <w:r>
        <w:rPr>
          <w:rtl w:val="true"/>
        </w:rPr>
        <w:t xml:space="preserve">, </w:t>
      </w:r>
      <w:r>
        <w:rPr>
          <w:rtl w:val="true"/>
        </w:rPr>
        <w:t>מדובר בנושא מנהלי שעל הנאשם לנסות ולפותרו למול הממונה על עבודות השירות וככל שלא תהיה הסכמה</w:t>
      </w:r>
      <w:r>
        <w:rPr>
          <w:rtl w:val="true"/>
        </w:rPr>
        <w:t xml:space="preserve">, </w:t>
      </w:r>
      <w:r>
        <w:rPr>
          <w:rtl w:val="true"/>
        </w:rPr>
        <w:t>בין הנאשם לממונה על עבודות השירות לגבי מקום ביצוע עבודות השירות</w:t>
      </w:r>
      <w:r>
        <w:rPr>
          <w:rtl w:val="true"/>
        </w:rPr>
        <w:t xml:space="preserve">, </w:t>
      </w:r>
      <w:r>
        <w:rPr>
          <w:rtl w:val="true"/>
        </w:rPr>
        <w:t>הדרך פתוחה בפני הנאשם לפנות בעתירה מנהלית לערכאה המוסמכת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 משית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 שירוצו בדרך של 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הנאשם יתייצב ביום </w:t>
      </w:r>
      <w:r>
        <w:rPr/>
        <w:t>31.12.14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בפני הממונה על עבודות השירות במחוז דרום</w:t>
      </w:r>
      <w:r>
        <w:rPr>
          <w:rtl w:val="true"/>
        </w:rPr>
        <w:t xml:space="preserve">, </w:t>
      </w:r>
      <w:r>
        <w:rPr>
          <w:rtl w:val="true"/>
        </w:rPr>
        <w:t xml:space="preserve">יחידת עבודות שירות בבאר שבע </w:t>
      </w:r>
      <w:r>
        <w:rPr>
          <w:rtl w:val="true"/>
        </w:rPr>
        <w:t>–</w:t>
      </w:r>
      <w:r>
        <w:rPr>
          <w:rtl w:val="true"/>
        </w:rPr>
        <w:t xml:space="preserve"> לתחילת ריצוי עבודות השירות</w:t>
      </w:r>
      <w:r>
        <w:rPr>
          <w:rtl w:val="true"/>
        </w:rPr>
        <w:t xml:space="preserve">. </w:t>
      </w:r>
      <w:r>
        <w:rPr>
          <w:rtl w:val="true"/>
        </w:rPr>
        <w:t>על פי חוות הדעת</w:t>
      </w:r>
      <w:r>
        <w:rPr>
          <w:rtl w:val="true"/>
        </w:rPr>
        <w:t xml:space="preserve">, </w:t>
      </w:r>
      <w:r>
        <w:rPr>
          <w:rtl w:val="true"/>
        </w:rPr>
        <w:t>ובהעדר הוראה אחרת מטעם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>עבודות השירות יבוצעו ב</w:t>
      </w:r>
      <w:r>
        <w:rPr>
          <w:rtl w:val="true"/>
        </w:rPr>
        <w:t>-"</w:t>
      </w:r>
      <w:r>
        <w:rPr>
          <w:rtl w:val="true"/>
        </w:rPr>
        <w:t>מאיר פנים</w:t>
      </w:r>
      <w:r>
        <w:rPr>
          <w:rtl w:val="true"/>
        </w:rPr>
        <w:t xml:space="preserve">" </w:t>
      </w:r>
      <w:r>
        <w:rPr>
          <w:rtl w:val="true"/>
        </w:rPr>
        <w:t xml:space="preserve">רחוב הצבי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 xml:space="preserve">יועסק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 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 שעות עבודה יומיות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והתנאי הוא שבמשך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הנאשם לא יבצע עבירת אלימות או עבירה 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338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או </w:t>
      </w:r>
      <w:hyperlink r:id="rId14"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5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 ישלם  פיצוי למתלונן</w:t>
      </w:r>
      <w:r>
        <w:rPr>
          <w:rtl w:val="true"/>
        </w:rPr>
        <w:t xml:space="preserve">, </w:t>
      </w:r>
      <w:r>
        <w:rPr>
          <w:rtl w:val="true"/>
        </w:rPr>
        <w:t xml:space="preserve">עד התביעה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בסך  </w:t>
      </w:r>
      <w:r>
        <w:rPr/>
        <w:t>2,000</w:t>
      </w:r>
      <w:r>
        <w:rPr>
          <w:rtl w:val="true"/>
        </w:rPr>
        <w:t xml:space="preserve"> ₪.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הפיצוי ישולם 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חודשים שווים ורצופים </w:t>
      </w:r>
      <w:bookmarkStart w:id="11" w:name="_GoBack"/>
      <w:bookmarkEnd w:id="11"/>
      <w:r>
        <w:rPr>
          <w:rtl w:val="true"/>
        </w:rPr>
        <w:t xml:space="preserve">כאשר הראשון שבהם עד ליום  </w:t>
      </w:r>
      <w:r>
        <w:rPr/>
        <w:t>1.12.14</w:t>
      </w:r>
      <w:r>
        <w:rPr>
          <w:rtl w:val="true"/>
        </w:rPr>
        <w:t xml:space="preserve">  </w:t>
      </w:r>
      <w:r>
        <w:rPr>
          <w:rtl w:val="true"/>
        </w:rPr>
        <w:t>והיתרה 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 חודש שלאחריו</w:t>
      </w:r>
      <w:r>
        <w:rPr>
          <w:rtl w:val="true"/>
        </w:rPr>
        <w:t xml:space="preserve">. </w:t>
      </w:r>
      <w:r>
        <w:rPr>
          <w:rtl w:val="true"/>
        </w:rPr>
        <w:t>היה ואחד התשלומים לא ישולם במועד</w:t>
      </w:r>
      <w:r>
        <w:rPr>
          <w:rtl w:val="true"/>
        </w:rPr>
        <w:t xml:space="preserve">, </w:t>
      </w:r>
      <w:r>
        <w:rPr>
          <w:rtl w:val="true"/>
        </w:rPr>
        <w:t>אזי יעמוד מלוא סכום הפיצוי לפירעון 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המאשימה תעדכן את מזכירות בית משפט לגבי פרטיו המלאים והעדכניים של עד התביעה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ז וכתובת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חשוון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30/10/2014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הישאם אבו שחאדה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רעות</w:t>
      </w:r>
      <w:r>
        <w:rPr>
          <w:rtl w:val="true"/>
        </w:rPr>
        <w:t xml:space="preserve"> </w:t>
      </w:r>
      <w:r>
        <w:rPr>
          <w:rtl w:val="true"/>
        </w:rPr>
        <w:t>חסון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19921-04-14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פרקליטות מחוז 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שמואל מיכאל מסיקה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38" TargetMode="External"/><Relationship Id="rId5" Type="http://schemas.openxmlformats.org/officeDocument/2006/relationships/hyperlink" Target="http://www.nevo.co.il/law/70301/338.a.5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38.a.5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338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2014-12-31T11:23:00Z</dcterms:created>
  <dc:creator> </dc:creator>
  <dc:description/>
  <cp:keywords/>
  <dc:language>en-IL</dc:language>
  <cp:lastModifiedBy>hofit</cp:lastModifiedBy>
  <dcterms:modified xsi:type="dcterms:W3CDTF">2014-12-31T11:23:00Z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פרקליטות מחוז מרכז</vt:lpwstr>
  </property>
  <property fmtid="{D5CDD505-2E9C-101B-9397-08002B2CF9AE}" pid="3" name="APPELLEE">
    <vt:lpwstr>שמואל מיכאל מסיקה</vt:lpwstr>
  </property>
  <property fmtid="{D5CDD505-2E9C-101B-9397-08002B2CF9AE}" pid="4" name="CITY">
    <vt:lpwstr>רמ'</vt:lpwstr>
  </property>
  <property fmtid="{D5CDD505-2E9C-101B-9397-08002B2CF9AE}" pid="5" name="DATE">
    <vt:lpwstr>20141030</vt:lpwstr>
  </property>
  <property fmtid="{D5CDD505-2E9C-101B-9397-08002B2CF9AE}" pid="6" name="ISABSTRACT">
    <vt:lpwstr>Y</vt:lpwstr>
  </property>
  <property fmtid="{D5CDD505-2E9C-101B-9397-08002B2CF9AE}" pid="7" name="JUDGE">
    <vt:lpwstr>הישאם אבו שחאדה</vt:lpwstr>
  </property>
  <property fmtid="{D5CDD505-2E9C-101B-9397-08002B2CF9AE}" pid="8" name="LAWLISTTMP1">
    <vt:lpwstr>70301/192;379;338.a.5;340a:2;338</vt:lpwstr>
  </property>
  <property fmtid="{D5CDD505-2E9C-101B-9397-08002B2CF9AE}" pid="9" name="NEWPARTA">
    <vt:lpwstr>19921</vt:lpwstr>
  </property>
  <property fmtid="{D5CDD505-2E9C-101B-9397-08002B2CF9AE}" pid="10" name="NEWPARTB">
    <vt:lpwstr>04</vt:lpwstr>
  </property>
  <property fmtid="{D5CDD505-2E9C-101B-9397-08002B2CF9AE}" pid="11" name="NEWPARTC">
    <vt:lpwstr>14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380020141030</vt:lpwstr>
  </property>
  <property fmtid="{D5CDD505-2E9C-101B-9397-08002B2CF9AE}" pid="16" name="TYPE_N_DATE">
    <vt:lpwstr>38020141030</vt:lpwstr>
  </property>
  <property fmtid="{D5CDD505-2E9C-101B-9397-08002B2CF9AE}" pid="17" name="WORDNUMPAGES">
    <vt:lpwstr>3</vt:lpwstr>
  </property>
</Properties>
</file>