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2004-09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ביטון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נסר אבו טהה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מתמחה זהר שפק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 ביטון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רינת יהב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bookmarkStart w:id="4" w:name="PsakDin"/>
      <w:bookmarkEnd w:id="4"/>
      <w:r>
        <w:rPr>
          <w:rFonts w:ascii="Arial" w:hAnsi="Arial" w:cs="Arial"/>
          <w:rtl w:val="true"/>
        </w:rPr>
        <w:t>על יסוד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מרשיע אותו בעובדות המיוחסות לו 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#5#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 בעובדות כתב האישום המתוקן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תקיפת 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שדחף את המתלונן 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מיום </w:t>
      </w:r>
      <w:r>
        <w:rPr>
          <w:rFonts w:cs="Arial" w:ascii="Arial" w:hAnsi="Arial"/>
        </w:rPr>
        <w:t>31.1.09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בהתחשב בנימוקי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ההסדר סביר והולם את הנסיבות ועל כן החלטתי לאמצו ובהתאם לכך הנני דן את הנאשם ל</w:t>
      </w:r>
      <w:r>
        <w:rPr>
          <w:rFonts w:ascii="Arial" w:hAnsi="Arial" w:cs="Arial"/>
          <w:b/>
          <w:b/>
          <w:bCs/>
          <w:u w:val="single"/>
          <w:rtl w:val="true"/>
        </w:rPr>
        <w:t>שלושה חודשי מאסר על תנאי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למשך שנתיים מהיום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שלא יעבור עבירה בה הורשע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נסר אבו טהה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פרץ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/Users/liorb/Downloads/study2025-p2/SH-09-2004-901.doc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2004-09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דוד ביטון 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2010-06-03T07:18:00Z</dcterms:created>
  <dc:creator> </dc:creator>
  <dc:description/>
  <cp:keywords/>
  <dc:language>en-IL</dc:language>
  <cp:lastModifiedBy>orit</cp:lastModifiedBy>
  <dcterms:modified xsi:type="dcterms:W3CDTF">2010-10-05T14:42:00Z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ביטון –</vt:lpwstr>
  </property>
  <property fmtid="{D5CDD505-2E9C-101B-9397-08002B2CF9AE}" pid="4" name="CITY">
    <vt:lpwstr>ב"ש</vt:lpwstr>
  </property>
  <property fmtid="{D5CDD505-2E9C-101B-9397-08002B2CF9AE}" pid="5" name="DATE">
    <vt:lpwstr>20100601</vt:lpwstr>
  </property>
  <property fmtid="{D5CDD505-2E9C-101B-9397-08002B2CF9AE}" pid="6" name="JUDGE">
    <vt:lpwstr>נסר אבו טהה</vt:lpwstr>
  </property>
  <property fmtid="{D5CDD505-2E9C-101B-9397-08002B2CF9AE}" pid="7" name="LAWYER">
    <vt:lpwstr>דוד ביטון –;רינת יהב – ס.צ;מדינת ישראל;מתמחה זהר שפק</vt:lpwstr>
  </property>
  <property fmtid="{D5CDD505-2E9C-101B-9397-08002B2CF9AE}" pid="8" name="NEWPARTA">
    <vt:lpwstr>2004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2004</vt:lpwstr>
  </property>
  <property fmtid="{D5CDD505-2E9C-101B-9397-08002B2CF9AE}" pid="13" name="PROCYEAR">
    <vt:lpwstr>09</vt:lpwstr>
  </property>
  <property fmtid="{D5CDD505-2E9C-101B-9397-08002B2CF9AE}" pid="14" name="PSAKDIN">
    <vt:lpwstr>הכרעת-דין</vt:lpwstr>
  </property>
  <property fmtid="{D5CDD505-2E9C-101B-9397-08002B2CF9AE}" pid="15" name="RemarkFileName">
    <vt:lpwstr>shalom sh 09 2004 901 htm</vt:lpwstr>
  </property>
  <property fmtid="{D5CDD505-2E9C-101B-9397-08002B2CF9AE}" pid="16" name="TYPE">
    <vt:lpwstr>3</vt:lpwstr>
  </property>
  <property fmtid="{D5CDD505-2E9C-101B-9397-08002B2CF9AE}" pid="17" name="TYPE_ABS_DATE">
    <vt:lpwstr>380020100601</vt:lpwstr>
  </property>
  <property fmtid="{D5CDD505-2E9C-101B-9397-08002B2CF9AE}" pid="18" name="TYPE_N_DATE">
    <vt:lpwstr>38020100601</vt:lpwstr>
  </property>
  <property fmtid="{D5CDD505-2E9C-101B-9397-08002B2CF9AE}" pid="19" name="WORDNUMPAGES">
    <vt:lpwstr>2</vt:lpwstr>
  </property>
</Properties>
</file>