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20068-10-22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נסן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יעל תרם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דוד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נסן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עבד אבו עאמר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ייצור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 xml:space="preserve">); </w:t>
      </w:r>
      <w:r>
        <w:rPr>
          <w:u w:val="single"/>
          <w:rtl w:val="true"/>
        </w:rPr>
        <w:t>ייבוא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תקדימי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מדפסת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אוטומטי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שסוגל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</w:t>
      </w:r>
      <w:r>
        <w:rPr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tl w:val="true"/>
        </w:rPr>
        <w:t xml:space="preserve">.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28.9.23</w:t>
      </w:r>
      <w:r>
        <w:rPr>
          <w:rtl w:val="true"/>
        </w:rPr>
        <w:t xml:space="preserve"> </w:t>
      </w:r>
      <w:r>
        <w:rPr>
          <w:rtl w:val="true"/>
        </w:rPr>
        <w:t>אספה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שהרכיב</w:t>
      </w:r>
      <w:r>
        <w:rPr>
          <w:rtl w:val="true"/>
        </w:rPr>
        <w:t xml:space="preserve">,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האמריקאי</w:t>
      </w:r>
      <w:r>
        <w:rPr>
          <w:rtl w:val="true"/>
        </w:rPr>
        <w:t xml:space="preserve">,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כפרמדיק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לצלילה</w:t>
      </w:r>
      <w:r>
        <w:rPr>
          <w:rtl w:val="true"/>
        </w:rPr>
        <w:t xml:space="preserve">, </w:t>
      </w:r>
      <w:r>
        <w:rPr>
          <w:rtl w:val="true"/>
        </w:rPr>
        <w:t>שעונים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ושעמום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והתאקלמות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אידאולוגיות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ענבר</w:t>
      </w:r>
      <w:r>
        <w:rPr>
          <w:rtl w:val="true"/>
        </w:rPr>
        <w:t xml:space="preserve">, 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ומתוחכמים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50-80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tl w:val="true"/>
        </w:rPr>
        <w:t xml:space="preserve">, </w:t>
      </w:r>
      <w:r>
        <w:rPr>
          <w:rtl w:val="true"/>
        </w:rPr>
        <w:t>מתנייד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: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tLeast" w:line="360"/>
        <w:ind w:hanging="360" w:start="720" w:end="0"/>
        <w:jc w:val="both"/>
        <w:rPr/>
      </w:pPr>
      <w:r>
        <w:rPr>
          <w:rtl w:val="true"/>
        </w:rPr>
        <w:t>מעשי הנאשם פגעו פגיעה קשה וחמורה בערכים החברתיים רבים וביניהם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שלמות הגוף</w:t>
      </w:r>
      <w:r>
        <w:rPr>
          <w:rtl w:val="true"/>
        </w:rPr>
        <w:t xml:space="preserve">, </w:t>
      </w:r>
      <w:r>
        <w:rPr>
          <w:rtl w:val="true"/>
        </w:rPr>
        <w:t>חיי אדם ותחושת הביטחון הכללי של האזרחים</w:t>
      </w:r>
      <w:r>
        <w:rPr>
          <w:rtl w:val="true"/>
        </w:rPr>
        <w:t xml:space="preserve">. </w:t>
      </w:r>
      <w:r>
        <w:rPr>
          <w:color w:val="000000"/>
          <w:spacing w:val="10"/>
          <w:rtl w:val="true"/>
        </w:rPr>
        <w:t xml:space="preserve">חומרתן של עבירות הנשק </w:t>
      </w:r>
      <w:r>
        <w:rPr>
          <w:rtl w:val="true"/>
        </w:rPr>
        <w:t>אינה מתמצה אך בעבירות גופן אלא בפוטנציאל הנזק הנובע מהן</w:t>
      </w:r>
      <w:r>
        <w:rPr>
          <w:color w:val="000000"/>
          <w:spacing w:val="10"/>
          <w:rtl w:val="true"/>
        </w:rPr>
        <w:t xml:space="preserve">, </w:t>
      </w:r>
      <w:r>
        <w:rPr>
          <w:rtl w:val="true"/>
        </w:rPr>
        <w:t>עבירות הנשק מייצרות איומים וסיכונים משמעותיים לחברה</w:t>
      </w:r>
      <w:r>
        <w:rPr>
          <w:rtl w:val="true"/>
        </w:rPr>
        <w:t xml:space="preserve">, </w:t>
      </w:r>
      <w:r>
        <w:rPr>
          <w:rtl w:val="true"/>
        </w:rPr>
        <w:t>ומהוות בסיס לביצוע פעילות 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פשיעה לאומנית ופעולות טרור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29.3.2022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10.5.2022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color w:val="000000"/>
          <w:rtl w:val="true"/>
        </w:rPr>
        <w:t>נסיבות המעשים במקרה שלפנינו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חמורות</w:t>
      </w:r>
      <w:r>
        <w:rPr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 תכנן לייצר בעצמו אקדח</w:t>
      </w:r>
      <w:r>
        <w:rPr>
          <w:rtl w:val="true"/>
        </w:rPr>
        <w:t xml:space="preserve">, </w:t>
      </w:r>
      <w:r>
        <w:rPr>
          <w:rtl w:val="true"/>
        </w:rPr>
        <w:t>לצורך כך הדפיס במדפסת תלת מימד שהחזיק חלק תחתון של אקדח חצי אוטומטי וייבא</w:t>
      </w:r>
      <w:r>
        <w:rPr>
          <w:rtl w:val="true"/>
        </w:rPr>
        <w:t xml:space="preserve">, </w:t>
      </w:r>
      <w:r>
        <w:rPr>
          <w:rtl w:val="true"/>
        </w:rPr>
        <w:t>באמצעות אמו המתגוררת 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חלקי נשק משלימים וביניהם קנה התואם את האקדח</w:t>
      </w:r>
      <w:r>
        <w:rPr>
          <w:rtl w:val="true"/>
        </w:rPr>
        <w:t xml:space="preserve">, </w:t>
      </w:r>
      <w:r>
        <w:rPr>
          <w:rtl w:val="true"/>
        </w:rPr>
        <w:t>הרכיבם וייצר נשק מסוג אקדח</w:t>
      </w:r>
      <w:r>
        <w:rPr>
          <w:rtl w:val="true"/>
        </w:rPr>
        <w:t xml:space="preserve">. </w:t>
      </w:r>
      <w:r>
        <w:rPr>
          <w:rtl w:val="true"/>
        </w:rPr>
        <w:t>מעשיו מעידים על תכנון</w:t>
      </w:r>
      <w:r>
        <w:rPr>
          <w:rtl w:val="true"/>
        </w:rPr>
        <w:t xml:space="preserve">, </w:t>
      </w:r>
      <w:r>
        <w:rPr>
          <w:rtl w:val="true"/>
        </w:rPr>
        <w:t>תחכום ומחשבה</w:t>
      </w:r>
      <w:r>
        <w:rPr>
          <w:rtl w:val="true"/>
        </w:rPr>
        <w:t xml:space="preserve">, </w:t>
      </w:r>
      <w:r>
        <w:rPr>
          <w:rtl w:val="true"/>
        </w:rPr>
        <w:t>הנאשם ביקש מאמו שתרכוש עבורו חלקי נשק ותשלחם בחבילה ארצה</w:t>
      </w:r>
      <w:r>
        <w:rPr>
          <w:rtl w:val="true"/>
        </w:rPr>
        <w:t xml:space="preserve">, </w:t>
      </w:r>
      <w:r>
        <w:rPr>
          <w:rtl w:val="true"/>
        </w:rPr>
        <w:t>הנאשם דיווח דיווח כוזב למכס באשר לתכולת החבילה וביקש מרעייתו לאסוף עבורו את החבילה</w:t>
      </w:r>
      <w:r>
        <w:rPr>
          <w:rtl w:val="true"/>
        </w:rPr>
        <w:t xml:space="preserve">. </w:t>
      </w:r>
      <w:r>
        <w:rPr>
          <w:rtl w:val="true"/>
        </w:rPr>
        <w:t>צודקת המאשימה כי לא מדובר במעשה אימפולסיבי</w:t>
      </w:r>
      <w:r>
        <w:rPr>
          <w:rtl w:val="true"/>
        </w:rPr>
        <w:t>, "</w:t>
      </w:r>
      <w:r>
        <w:rPr>
          <w:rtl w:val="true"/>
        </w:rPr>
        <w:t>שגעון של רגע</w:t>
      </w:r>
      <w:r>
        <w:rPr>
          <w:rtl w:val="true"/>
        </w:rPr>
        <w:t xml:space="preserve">" </w:t>
      </w:r>
      <w:r>
        <w:rPr>
          <w:rtl w:val="true"/>
        </w:rPr>
        <w:t>שבוצע ללא מחשבה רבה וללא הפעלת שיקול דעת</w:t>
      </w:r>
      <w:r>
        <w:rPr>
          <w:rtl w:val="true"/>
        </w:rPr>
        <w:t xml:space="preserve">. </w:t>
      </w:r>
      <w:r>
        <w:rPr>
          <w:rtl w:val="true"/>
        </w:rPr>
        <w:t>הנאשם החזיק ארסנל של נשק ותחמושת</w:t>
      </w:r>
      <w:r>
        <w:rPr>
          <w:rtl w:val="true"/>
        </w:rPr>
        <w:t xml:space="preserve">, </w:t>
      </w:r>
      <w:r>
        <w:rPr>
          <w:rtl w:val="true"/>
        </w:rPr>
        <w:t>המצאותם של חלקי נשק נוספים ותחמושת רבה מעידים על כך שהנאשם חטא בעיסוק בנשק ולא בחל לייבאו ולהחטיא את בני משפחתו שסייעו לו בתום לב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אין בטענה שביצע את המעשים מתוך תחושות שעמום וריקנות כדי להקל מחומרתם</w:t>
      </w:r>
      <w:r>
        <w:rPr>
          <w:rtl w:val="true"/>
        </w:rPr>
        <w:t xml:space="preserve">. </w:t>
      </w:r>
      <w:r>
        <w:rPr>
          <w:rtl w:val="true"/>
        </w:rPr>
        <w:t>עוד אני דוחה את הטענה שהנאשם לא הבין את חומרת מעשיו מאחר שבארץ מולדתו</w:t>
      </w:r>
      <w:r>
        <w:rPr>
          <w:rtl w:val="true"/>
        </w:rPr>
        <w:t xml:space="preserve">,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עיסוק בנשק הוא לגיטימי</w:t>
      </w:r>
      <w:r>
        <w:rPr>
          <w:rtl w:val="true"/>
        </w:rPr>
        <w:t xml:space="preserve">. </w:t>
      </w:r>
      <w:r>
        <w:rPr>
          <w:rtl w:val="true"/>
        </w:rPr>
        <w:t>מדובר בטענה מיתממת ומקוממת</w:t>
      </w:r>
      <w:r>
        <w:rPr>
          <w:rtl w:val="true"/>
        </w:rPr>
        <w:t xml:space="preserve">, </w:t>
      </w:r>
      <w:r>
        <w:rPr>
          <w:rtl w:val="true"/>
        </w:rPr>
        <w:t xml:space="preserve">הנאשם עלה ארצה לפני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מדובר באדם אינטליגנט ונורמטיבי שהיה מודע היטב לכך שמעשיו אסורים ובחר במודע לפעול בניגוד לחוק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הנאשם נחקר ע</w:t>
      </w:r>
      <w:r>
        <w:rPr>
          <w:rtl w:val="true"/>
        </w:rPr>
        <w:t>"</w:t>
      </w:r>
      <w:r>
        <w:rPr>
          <w:rtl w:val="true"/>
        </w:rPr>
        <w:t>י השב</w:t>
      </w:r>
      <w:r>
        <w:rPr>
          <w:rtl w:val="true"/>
        </w:rPr>
        <w:t>"</w:t>
      </w:r>
      <w:r>
        <w:rPr>
          <w:rtl w:val="true"/>
        </w:rPr>
        <w:t>כ ולא עלתה כל אינדיקציה לכך שביצע את מעשיו על רקע אידיאולוגי או לצורך ביצוע עבירה פלילית או בטחונית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אך במזל נחשפו מעשי הנאשם טרם הספיק לעשות שימוש בנשק</w:t>
      </w:r>
      <w:r>
        <w:rPr>
          <w:rtl w:val="true"/>
        </w:rPr>
        <w:t xml:space="preserve">. </w:t>
      </w:r>
      <w:r>
        <w:rPr>
          <w:rtl w:val="true"/>
        </w:rPr>
        <w:t>טענתו כי הכין את הנשק שלא על מנת לעשות בו שימוש אינה מתיישבת עם ארסנל התחמושת שנמצא בביתו הכולל מחסניות טעונות וכדורי תחמושת תואמים לאקדח</w:t>
      </w:r>
      <w:r>
        <w:rPr>
          <w:rtl w:val="true"/>
        </w:rPr>
        <w:t xml:space="preserve">. </w:t>
      </w:r>
      <w:r>
        <w:rPr>
          <w:rtl w:val="true"/>
        </w:rPr>
        <w:t>בנוסף החזיק חלק עליון של אקדח ולא מן הנמנע כי אם לא היה נעצר היה ממשיך לייצר כלי נשק נוספים</w:t>
      </w:r>
      <w:r>
        <w:rPr>
          <w:rtl w:val="true"/>
        </w:rPr>
        <w:t xml:space="preserve">. </w:t>
      </w:r>
      <w:r>
        <w:rPr>
          <w:rtl w:val="true"/>
        </w:rPr>
        <w:t>ומעל הכל</w:t>
      </w:r>
      <w:r>
        <w:rPr>
          <w:rtl w:val="true"/>
        </w:rPr>
        <w:t xml:space="preserve">, </w:t>
      </w:r>
      <w:r>
        <w:rPr>
          <w:rtl w:val="true"/>
        </w:rPr>
        <w:t>פוטנציאל הסיכון במעשיו של הנאשם גבוה וממשי</w:t>
      </w:r>
      <w:r>
        <w:rPr>
          <w:rtl w:val="true"/>
        </w:rPr>
        <w:t xml:space="preserve">, </w:t>
      </w:r>
      <w:r>
        <w:rPr>
          <w:rtl w:val="true"/>
        </w:rPr>
        <w:t>הנשק הוחזק במחסן בביתו ועלול היה בין היתר להיגנב ולהגיע לידיים עוינות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לקבוע שנסיבות מעשי הנאשם פגעו פגיעה מוחשית בערכים המוגנים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color w:val="000000"/>
          <w:spacing w:val="10"/>
        </w:rPr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tl w:val="true"/>
        </w:rPr>
        <w:t xml:space="preserve">-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,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  <w:spacing w:val="10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וייחודי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8045/17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בראנסי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נ</w:t>
      </w:r>
      <w:r>
        <w:rPr>
          <w:b/>
          <w:bCs/>
          <w:color w:val="000000"/>
          <w:spacing w:val="10"/>
          <w:rtl w:val="true"/>
        </w:rPr>
        <w:t xml:space="preserve">' </w:t>
      </w:r>
      <w:r>
        <w:rPr>
          <w:b/>
          <w:b/>
          <w:bCs/>
          <w:color w:val="000000"/>
          <w:spacing w:val="10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ישראל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</w:rPr>
        <w:t>16.8.18</w:t>
      </w:r>
      <w:r>
        <w:rPr>
          <w:color w:val="000000"/>
          <w:spacing w:val="10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color w:val="000000"/>
          <w:sz w:val="14"/>
          <w:szCs w:val="14"/>
        </w:rPr>
      </w:pPr>
      <w:r>
        <w:rPr>
          <w:rFonts w:ascii="Arial" w:hAnsi="Arial" w:cs="Arial"/>
          <w:rtl w:val="true"/>
        </w:rPr>
        <w:t>העונש המזערי בגין עבירות ייבוא וייצור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צריך לעמוד על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להלכה הפסוקה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הרף התחתון של מתחם העונש ההולם ככלל לא יהיה נמוך מעונש מזערי שנקבע לעבירה הקשורה לאירוע מושא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עונש זה משקף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העמדה העונשית של המחוקק</w:t>
      </w:r>
      <w:r>
        <w:rPr>
          <w:b/>
          <w:bCs/>
          <w:color w:val="000000"/>
          <w:sz w:val="14"/>
          <w:szCs w:val="1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color w:val="000000"/>
          <w:sz w:val="14"/>
          <w:szCs w:val="14"/>
        </w:rPr>
      </w:pPr>
      <w:r>
        <w:rPr>
          <w:b/>
          <w:bCs/>
          <w:color w:val="000000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  <w:sz w:val="14"/>
          <w:szCs w:val="14"/>
        </w:rPr>
      </w:pPr>
      <w:r>
        <w:rPr>
          <w:b/>
          <w:bCs/>
          <w:color w:val="000000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color w:val="000000"/>
          <w:spacing w:val="10"/>
        </w:rPr>
      </w:pPr>
      <w:r>
        <w:rPr>
          <w:color w:val="000000"/>
          <w:rtl w:val="true"/>
        </w:rPr>
        <w:t>עיון בפסיקה מעלה שזו טרם עסקה במקרה הדומה בנסיבותיו למקרה שבפנינו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היינו הדפסת נשק בייצור עצמי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 זאת ניתן ללמוד על הענישה הראויה במקרה שבפנינו מפסיקות שונות בעבירות ייבוא וייצור נשק ותוך התחשבות בהבדלים בין נסיבות המעשים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r>
        <w:rPr>
          <w:color w:val="000000"/>
          <w:spacing w:val="10"/>
          <w:rtl w:val="true"/>
        </w:rPr>
        <w:t>ב</w:t>
      </w:r>
      <w:hyperlink r:id="rId22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u w:val="single"/>
          </w:rPr>
          <w:t>5779/14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אלגזי נ</w:t>
      </w:r>
      <w:r>
        <w:rPr>
          <w:b/>
          <w:bCs/>
          <w:color w:val="000000"/>
          <w:spacing w:val="10"/>
          <w:rtl w:val="true"/>
        </w:rPr>
        <w:t xml:space="preserve">' </w:t>
      </w:r>
      <w:r>
        <w:rPr>
          <w:b/>
          <w:b/>
          <w:bCs/>
          <w:color w:val="000000"/>
          <w:spacing w:val="10"/>
          <w:rtl w:val="true"/>
        </w:rPr>
        <w:t>מדינת ישראל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5.12.15</w:t>
      </w:r>
      <w:r>
        <w:rPr>
          <w:color w:val="000000"/>
          <w:spacing w:val="10"/>
          <w:rtl w:val="true"/>
        </w:rPr>
        <w:t xml:space="preserve">)- </w:t>
      </w:r>
      <w:r>
        <w:rPr>
          <w:color w:val="000000"/>
          <w:rtl w:val="true"/>
        </w:rPr>
        <w:t xml:space="preserve">הנאשם הורשע ברכישת חלק ממרכיבי מטען חבלה ומכירתם לפי סעיף </w:t>
      </w:r>
      <w:hyperlink r:id="rId23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 ללא עבר 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 כי לא ידע למה ישמש מטען החבלה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נקבע מתחם ענישה הנע בין </w:t>
      </w:r>
      <w:r>
        <w:rPr>
          <w:color w:val="000000"/>
        </w:rPr>
        <w:t>3.5-7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 נדון ל</w:t>
      </w:r>
      <w:r>
        <w:rPr>
          <w:color w:val="000000"/>
          <w:rtl w:val="true"/>
        </w:rPr>
        <w:t>-</w:t>
      </w:r>
      <w:r>
        <w:rPr>
          <w:color w:val="000000"/>
        </w:rPr>
        <w:t>46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ערעורו נדחה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העליון קבע כי אין מנוס מהטלת ענישה מכאיבה בעבירות נשק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r>
        <w:rPr>
          <w:color w:val="000000"/>
          <w:spacing w:val="10"/>
          <w:rtl w:val="true"/>
        </w:rPr>
        <w:t>ב</w:t>
      </w:r>
      <w:hyperlink r:id="rId24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u w:val="single"/>
          </w:rPr>
          <w:t>9158/16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דוד אברג</w:t>
      </w:r>
      <w:r>
        <w:rPr>
          <w:b/>
          <w:bCs/>
          <w:color w:val="000000"/>
          <w:spacing w:val="10"/>
          <w:rtl w:val="true"/>
        </w:rPr>
        <w:t>'</w:t>
      </w:r>
      <w:r>
        <w:rPr>
          <w:b/>
          <w:b/>
          <w:bCs/>
          <w:color w:val="000000"/>
          <w:spacing w:val="10"/>
          <w:rtl w:val="true"/>
        </w:rPr>
        <w:t>יל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 xml:space="preserve">מערער </w:t>
      </w:r>
      <w:r>
        <w:rPr>
          <w:color w:val="000000"/>
          <w:spacing w:val="10"/>
        </w:rPr>
        <w:t>2</w:t>
      </w:r>
      <w:r>
        <w:rPr>
          <w:color w:val="000000"/>
          <w:spacing w:val="10"/>
          <w:rtl w:val="true"/>
        </w:rPr>
        <w:t xml:space="preserve">) </w:t>
      </w:r>
      <w:r>
        <w:rPr>
          <w:b/>
          <w:b/>
          <w:bCs/>
          <w:color w:val="000000"/>
          <w:spacing w:val="10"/>
          <w:rtl w:val="true"/>
        </w:rPr>
        <w:t>נ</w:t>
      </w:r>
      <w:r>
        <w:rPr>
          <w:b/>
          <w:bCs/>
          <w:color w:val="000000"/>
          <w:spacing w:val="10"/>
          <w:rtl w:val="true"/>
        </w:rPr>
        <w:t xml:space="preserve">' </w:t>
      </w:r>
      <w:r>
        <w:rPr>
          <w:b/>
          <w:b/>
          <w:bCs/>
          <w:color w:val="000000"/>
          <w:spacing w:val="10"/>
          <w:rtl w:val="true"/>
        </w:rPr>
        <w:t>מדינת ישראל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30.1.17</w:t>
      </w:r>
      <w:r>
        <w:rPr>
          <w:color w:val="000000"/>
          <w:spacing w:val="10"/>
          <w:rtl w:val="true"/>
        </w:rPr>
        <w:t xml:space="preserve">), </w:t>
      </w:r>
      <w:r>
        <w:rPr>
          <w:color w:val="000000"/>
          <w:rtl w:val="true"/>
        </w:rPr>
        <w:t xml:space="preserve">הנאשם נדון בגין ייצור מטען חבלה מאולתר למאסר בן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 בעל עבר 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נקבע מתחם שנע בין </w:t>
      </w:r>
      <w:r>
        <w:rPr>
          <w:color w:val="000000"/>
        </w:rPr>
        <w:t>3-7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מאסר</w:t>
      </w:r>
      <w:r>
        <w:rPr>
          <w:color w:val="000000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r>
        <w:rPr>
          <w:color w:val="000000"/>
          <w:spacing w:val="10"/>
          <w:rtl w:val="true"/>
        </w:rPr>
        <w:t>ב</w:t>
      </w:r>
      <w:hyperlink r:id="rId25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u w:val="single"/>
          </w:rPr>
          <w:t>8869/21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מדינת ישראל נ</w:t>
      </w:r>
      <w:r>
        <w:rPr>
          <w:b/>
          <w:bCs/>
          <w:color w:val="000000"/>
          <w:spacing w:val="10"/>
          <w:rtl w:val="true"/>
        </w:rPr>
        <w:t xml:space="preserve">' </w:t>
      </w:r>
      <w:r>
        <w:rPr>
          <w:b/>
          <w:b/>
          <w:bCs/>
          <w:color w:val="000000"/>
          <w:spacing w:val="10"/>
          <w:rtl w:val="true"/>
        </w:rPr>
        <w:t>קואסמה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13.3.22</w:t>
      </w:r>
      <w:r>
        <w:rPr>
          <w:color w:val="000000"/>
          <w:spacing w:val="10"/>
          <w:rtl w:val="true"/>
        </w:rPr>
        <w:t>) -</w:t>
      </w:r>
      <w:r>
        <w:rPr>
          <w:color w:val="000000"/>
          <w:rtl w:val="true"/>
        </w:rPr>
        <w:t>הנאשם הורשע בשני אישומי סחר בנשק ואישום נוסף של ייצור 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רכישת חלק עליון של רובה </w:t>
      </w:r>
      <w:r>
        <w:rPr>
          <w:color w:val="000000"/>
        </w:rPr>
        <w:t>M-16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והרכבתו לחלקו התחתון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הנאשם בן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 עבר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נדון ל</w:t>
      </w:r>
      <w:r>
        <w:rPr>
          <w:color w:val="000000"/>
          <w:rtl w:val="true"/>
        </w:rPr>
        <w:t>-</w:t>
      </w:r>
      <w:r>
        <w:rPr>
          <w:color w:val="000000"/>
        </w:rPr>
        <w:t>32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בית המשפט העליון קיבל את ערעור המדינה וחרף סיכויי שיקום החמיר בעונשו והעמידו על 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  <w:spacing w:val="10"/>
        </w:rPr>
      </w:pPr>
      <w:hyperlink r:id="rId26">
        <w:r>
          <w:rPr>
            <w:rStyle w:val="Hyperlink"/>
            <w:color w:val="0000FF"/>
            <w:spacing w:val="10"/>
            <w:u w:val="single"/>
            <w:rtl w:val="true"/>
          </w:rPr>
          <w:t>ת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color w:val="0000FF"/>
            <w:spacing w:val="10"/>
            <w:u w:val="single"/>
            <w:rtl w:val="true"/>
          </w:rPr>
          <w:t>מח</w:t>
        </w:r>
        <w:r>
          <w:rPr>
            <w:rStyle w:val="Hyperlink"/>
            <w:color w:val="0000FF"/>
            <w:spacing w:val="10"/>
            <w:u w:val="single"/>
            <w:rtl w:val="true"/>
          </w:rPr>
          <w:t>-</w:t>
        </w:r>
        <w:r>
          <w:rPr>
            <w:rStyle w:val="Hyperlink"/>
            <w:color w:val="0000FF"/>
            <w:spacing w:val="10"/>
            <w:u w:val="single"/>
            <w:rtl w:val="true"/>
          </w:rPr>
          <w:t>י</w:t>
        </w:r>
        <w:r>
          <w:rPr>
            <w:rStyle w:val="Hyperlink"/>
            <w:color w:val="0000FF"/>
            <w:spacing w:val="10"/>
            <w:u w:val="single"/>
            <w:rtl w:val="true"/>
          </w:rPr>
          <w:t>-</w:t>
        </w:r>
        <w:r>
          <w:rPr>
            <w:rStyle w:val="Hyperlink"/>
            <w:color w:val="0000FF"/>
            <w:spacing w:val="10"/>
            <w:u w:val="single"/>
            <w:rtl w:val="true"/>
          </w:rPr>
          <w:t>ם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) </w:t>
        </w:r>
        <w:r>
          <w:rPr>
            <w:rStyle w:val="Hyperlink"/>
            <w:color w:val="0000FF"/>
            <w:spacing w:val="10"/>
            <w:u w:val="single"/>
          </w:rPr>
          <w:t>41052-11-19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מדינת ישראל נ</w:t>
      </w:r>
      <w:r>
        <w:rPr>
          <w:b/>
          <w:bCs/>
          <w:color w:val="000000"/>
          <w:spacing w:val="10"/>
          <w:rtl w:val="true"/>
        </w:rPr>
        <w:t xml:space="preserve">' </w:t>
      </w:r>
      <w:r>
        <w:rPr>
          <w:b/>
          <w:b/>
          <w:bCs/>
          <w:color w:val="000000"/>
          <w:spacing w:val="10"/>
          <w:rtl w:val="true"/>
        </w:rPr>
        <w:t>מג</w:t>
      </w:r>
      <w:r>
        <w:rPr>
          <w:b/>
          <w:bCs/>
          <w:color w:val="000000"/>
          <w:spacing w:val="10"/>
          <w:rtl w:val="true"/>
        </w:rPr>
        <w:t>'</w:t>
      </w:r>
      <w:r>
        <w:rPr>
          <w:b/>
          <w:b/>
          <w:bCs/>
          <w:color w:val="000000"/>
          <w:spacing w:val="10"/>
          <w:rtl w:val="true"/>
        </w:rPr>
        <w:t>אהד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15.2.21</w:t>
      </w:r>
      <w:r>
        <w:rPr>
          <w:color w:val="000000"/>
          <w:spacing w:val="10"/>
          <w:rtl w:val="true"/>
        </w:rPr>
        <w:t xml:space="preserve">) </w:t>
      </w:r>
      <w:r>
        <w:rPr>
          <w:color w:val="000000"/>
          <w:rtl w:val="true"/>
        </w:rPr>
        <w:t xml:space="preserve">– </w:t>
      </w:r>
      <w:r>
        <w:rPr>
          <w:color w:val="000000"/>
          <w:rtl w:val="true"/>
        </w:rPr>
        <w:t>הנאשם ייבא אביזרי נשק ובין היתר גוף תחתון של רובה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כוונות וידיות דריכה של רובה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התחשב בכך שהנאשם ייבא חלקי נשק ולא נשקים שלמים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נקבע מתחם ענישה שנע בין </w:t>
      </w:r>
      <w:r>
        <w:rPr>
          <w:color w:val="000000"/>
        </w:rPr>
        <w:t>12-30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 נדון לעונש בתחתית המתחם</w:t>
      </w:r>
      <w:r>
        <w:rPr>
          <w:color w:val="000000"/>
          <w:rtl w:val="true"/>
        </w:rPr>
        <w:t>.</w:t>
      </w:r>
      <w:r>
        <w:rPr>
          <w:color w:val="000000"/>
          <w:spacing w:val="10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hyperlink r:id="rId27">
        <w:r>
          <w:rPr>
            <w:rStyle w:val="Hyperlink"/>
            <w:color w:val="0000FF"/>
            <w:spacing w:val="10"/>
            <w:u w:val="single"/>
            <w:rtl w:val="true"/>
          </w:rPr>
          <w:t>ת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color w:val="0000FF"/>
            <w:spacing w:val="10"/>
            <w:u w:val="single"/>
            <w:rtl w:val="true"/>
          </w:rPr>
          <w:t>מח</w:t>
        </w:r>
        <w:r>
          <w:rPr>
            <w:rStyle w:val="Hyperlink"/>
            <w:color w:val="0000FF"/>
            <w:spacing w:val="10"/>
            <w:u w:val="single"/>
            <w:rtl w:val="true"/>
          </w:rPr>
          <w:t>-</w:t>
        </w:r>
        <w:r>
          <w:rPr>
            <w:rStyle w:val="Hyperlink"/>
            <w:color w:val="0000FF"/>
            <w:spacing w:val="10"/>
            <w:u w:val="single"/>
            <w:rtl w:val="true"/>
          </w:rPr>
          <w:t>מרכז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) </w:t>
        </w:r>
        <w:r>
          <w:rPr>
            <w:rStyle w:val="Hyperlink"/>
            <w:color w:val="0000FF"/>
            <w:spacing w:val="10"/>
            <w:u w:val="single"/>
          </w:rPr>
          <w:t>28283-11-22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מדינת ישראל נ</w:t>
      </w:r>
      <w:r>
        <w:rPr>
          <w:b/>
          <w:bCs/>
          <w:color w:val="000000"/>
          <w:spacing w:val="10"/>
          <w:rtl w:val="true"/>
        </w:rPr>
        <w:t xml:space="preserve">' </w:t>
      </w:r>
      <w:r>
        <w:rPr>
          <w:b/>
          <w:b/>
          <w:bCs/>
          <w:color w:val="000000"/>
          <w:spacing w:val="10"/>
          <w:rtl w:val="true"/>
        </w:rPr>
        <w:t>חסונה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</w:rPr>
        <w:t>3.7.23</w:t>
      </w:r>
      <w:r>
        <w:rPr>
          <w:color w:val="000000"/>
          <w:spacing w:val="10"/>
          <w:rtl w:val="true"/>
        </w:rPr>
        <w:t xml:space="preserve">)– </w:t>
      </w:r>
      <w:r>
        <w:rPr>
          <w:color w:val="000000"/>
          <w:rtl w:val="true"/>
        </w:rPr>
        <w:t>הנאשם הורשע במסגרת הסדר טעון בסיוע לניסיון לייצור 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בכך שביצע משלוחי נשק דמה מסוג איירסופט לשטחי הרשות תוך שהוא מודע לכך שיבצעו בהם הסבה לכלי נשק אמיתיים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 ללא עבר 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בתיק התגלעו קשיים ראיתיים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נדון למאסר בן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eastAsia="David"/>
        </w:rPr>
      </w:pP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14.4.2022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27.5.2021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eastAsia="David"/>
          <w:color w:val="000000"/>
          <w:spacing w:val="10"/>
        </w:rPr>
      </w:pPr>
      <w:r>
        <w:rPr>
          <w:rFonts w:eastAsia="David"/>
          <w:color w:val="000000"/>
          <w:spacing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eastAsia="David"/>
          <w:b/>
          <w:bCs/>
          <w:color w:val="000000"/>
        </w:rPr>
      </w:pPr>
      <w:r>
        <w:rPr>
          <w:color w:val="000000"/>
          <w:rtl w:val="true"/>
        </w:rPr>
        <w:t xml:space="preserve">ההגנה הפנתה בטיעוניה לפסיקה בעבירות נשק שונות </w:t>
      </w:r>
      <w:r>
        <w:rPr>
          <w:color w:val="000000"/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אזברגה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b/>
          <w:bCs/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9.12.21</w:t>
      </w:r>
      <w:r>
        <w:rPr>
          <w:color w:val="000000"/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בסילה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28.12.21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 xml:space="preserve">בחלקה מצאו בתי המשפט לחרוג לקולא ממתחם הענישה לצרכי שיקום </w:t>
      </w:r>
      <w:r>
        <w:rPr>
          <w:color w:val="000000"/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פדידה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16.2.23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שלא ניתן לגזור מהם גזירה שווה לענייננו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eastAsia="David"/>
          <w:b/>
          <w:bCs/>
          <w:color w:val="000000"/>
        </w:rPr>
      </w:pPr>
      <w:r>
        <w:rPr>
          <w:rFonts w:eastAsia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לאחר ששקלתי את כלל השיקולים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נסיבות מעשי הנאשם והוראת </w:t>
      </w:r>
      <w:hyperlink r:id="rId3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140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לחוק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מצאתי לקבוע מתחם ענישה הנע בין </w:t>
      </w:r>
      <w:r>
        <w:rPr>
          <w:b/>
          <w:bCs/>
          <w:color w:val="000000"/>
        </w:rPr>
        <w:t>38-66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 מאסר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    </w:t>
      </w:r>
    </w:p>
    <w:p>
      <w:pPr>
        <w:pStyle w:val="ListParagraph"/>
        <w:spacing w:lineRule="auto" w:line="360"/>
        <w:ind w:end="0"/>
        <w:jc w:val="both"/>
        <w:rPr>
          <w:rFonts w:eastAsia="David"/>
          <w:b/>
          <w:bCs/>
        </w:rPr>
      </w:pPr>
      <w:r>
        <w:rPr>
          <w:b/>
          <w:b/>
          <w:bCs/>
          <w:color w:val="000000"/>
          <w:rtl w:val="true"/>
        </w:rPr>
        <w:t>מכאן לנאשם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David"/>
          <w:b/>
          <w:bCs/>
        </w:rPr>
      </w:pPr>
      <w:r>
        <w:rPr>
          <w:rFonts w:eastAsia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בדפוסי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באידיאולוגיה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הסתבכותו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לסמוך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תרופתי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להתנייד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בילדיו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מעדויות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ושכניו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לתמיכת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בשיקומו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David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המזערי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28.9.22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יחולטו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משטרה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20068-10-22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0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28266138" TargetMode="External"/><Relationship Id="rId13" Type="http://schemas.openxmlformats.org/officeDocument/2006/relationships/hyperlink" Target="http://www.nevo.co.il/case/28384637" TargetMode="External"/><Relationship Id="rId14" Type="http://schemas.openxmlformats.org/officeDocument/2006/relationships/hyperlink" Target="http://www.nevo.co.il/case/28243273" TargetMode="External"/><Relationship Id="rId15" Type="http://schemas.openxmlformats.org/officeDocument/2006/relationships/hyperlink" Target="http://www.nevo.co.il/case/27894608" TargetMode="External"/><Relationship Id="rId16" Type="http://schemas.openxmlformats.org/officeDocument/2006/relationships/hyperlink" Target="http://www.nevo.co.il/case/27911638" TargetMode="External"/><Relationship Id="rId17" Type="http://schemas.openxmlformats.org/officeDocument/2006/relationships/hyperlink" Target="http://www.nevo.co.il/case/28152132" TargetMode="External"/><Relationship Id="rId18" Type="http://schemas.openxmlformats.org/officeDocument/2006/relationships/hyperlink" Target="http://www.nevo.co.il/case/28452933" TargetMode="External"/><Relationship Id="rId19" Type="http://schemas.openxmlformats.org/officeDocument/2006/relationships/hyperlink" Target="http://www.nevo.co.il/case/5568354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case/17948154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case/21731268" TargetMode="External"/><Relationship Id="rId25" Type="http://schemas.openxmlformats.org/officeDocument/2006/relationships/hyperlink" Target="http://www.nevo.co.il/case/28200855" TargetMode="External"/><Relationship Id="rId26" Type="http://schemas.openxmlformats.org/officeDocument/2006/relationships/hyperlink" Target="http://www.nevo.co.il/case/26195662" TargetMode="External"/><Relationship Id="rId27" Type="http://schemas.openxmlformats.org/officeDocument/2006/relationships/hyperlink" Target="http://www.nevo.co.il/case/29130200" TargetMode="External"/><Relationship Id="rId28" Type="http://schemas.openxmlformats.org/officeDocument/2006/relationships/hyperlink" Target="http://www.nevo.co.il/case/28513828" TargetMode="External"/><Relationship Id="rId29" Type="http://schemas.openxmlformats.org/officeDocument/2006/relationships/hyperlink" Target="http://www.nevo.co.il/case/27502726" TargetMode="External"/><Relationship Id="rId30" Type="http://schemas.openxmlformats.org/officeDocument/2006/relationships/hyperlink" Target="http://www.nevo.co.il/case/27491153" TargetMode="External"/><Relationship Id="rId31" Type="http://schemas.openxmlformats.org/officeDocument/2006/relationships/hyperlink" Target="http://www.nevo.co.il/case/28152132" TargetMode="External"/><Relationship Id="rId32" Type="http://schemas.openxmlformats.org/officeDocument/2006/relationships/hyperlink" Target="http://www.nevo.co.il/case/28963593" TargetMode="External"/><Relationship Id="rId33" Type="http://schemas.openxmlformats.org/officeDocument/2006/relationships/hyperlink" Target="http://www.nevo.co.il/law/70301/140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2024-08-26T14:12:00Z</dcterms:created>
  <dc:creator> </dc:creator>
  <dc:description/>
  <cp:keywords/>
  <dc:language>en-IL</dc:language>
  <cp:lastModifiedBy>h1</cp:lastModifiedBy>
  <dcterms:modified xsi:type="dcterms:W3CDTF">2024-08-26T14:12:00Z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ג'נסן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28266138;28384637;28243273;27894608;27911638;28152132:2;28452933;5568354;23750625;17948154;21731268;28200855;26195662;29130200;28513828;27502726;27491153;28963593</vt:lpwstr>
  </property>
  <property fmtid="{D5CDD505-2E9C-101B-9397-08002B2CF9AE}" pid="9" name="CITY">
    <vt:lpwstr>מרכז</vt:lpwstr>
  </property>
  <property fmtid="{D5CDD505-2E9C-101B-9397-08002B2CF9AE}" pid="10" name="DATE">
    <vt:lpwstr>20231120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70301/144.b2:3;144.a:2;144;140</vt:lpwstr>
  </property>
  <property fmtid="{D5CDD505-2E9C-101B-9397-08002B2CF9AE}" pid="15" name="LAWYER">
    <vt:lpwstr>יעל תרם;עבד אבו עאמר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20068</vt:lpwstr>
  </property>
  <property fmtid="{D5CDD505-2E9C-101B-9397-08002B2CF9AE}" pid="22" name="NEWPARTB">
    <vt:lpwstr>10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390020231120</vt:lpwstr>
  </property>
  <property fmtid="{D5CDD505-2E9C-101B-9397-08002B2CF9AE}" pid="34" name="TYPE_N_DATE">
    <vt:lpwstr>39020231120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