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20307-05-20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18.7.21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אביב שרון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" w:name="FirstAppellant"/>
      <w:r>
        <w:rPr>
          <w:rFonts w:ascii="David" w:hAnsi="David"/>
          <w:b/>
          <w:b/>
          <w:bCs/>
          <w:rtl w:val="true"/>
        </w:rPr>
        <w:t>בעניין</w:t>
      </w:r>
      <w:bookmarkEnd w:id="1"/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פרקליטות מחוז מרכז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אוריה תוהמי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אסיל מסארוה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שאדי נאטור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6">
        <w:r>
          <w:rPr>
            <w:rStyle w:val="Hyperlink"/>
            <w:rFonts w:ascii="David" w:hAnsi="David"/>
            <w:rtl w:val="true"/>
          </w:rPr>
          <w:t>לסעיף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העובדות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24.2.20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בתת מקלע מאולתר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24.2.20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אירוע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שוטרים בסמוך לבית הנאשם בטייבה והבחינו במספר אנשים בורחים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בסמוך לאחר מכן הבחינו בנשק ובו מחסנית המכילה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התואמת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מונח מתחת לגיגית בחצר הצמודה לבית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לערכים החברתיים המוגנים בביצוע העבירה שעניינם שמירה על שלום הציבור ובטחונו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פגיעה בשלטון החוק ובסדרי שלטון ומשטר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סיכון חיי אדם וחשש יומיומי של האוכלוסיה האזרחית מפגיעה כתוצאה משימוש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 טענה שעבירות בנשק הפכו זה מכבר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איזור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וקיימת סכנה ממשית שהנשק המוחזק שלא כדין יעבור לידיים עברייניות או בטחוניות ומכאן החשש לפגיעה בחפים מפשע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התובעת שמדובר בנשק מסוג תת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הוחזק בחצר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הנשק היה טעון במחסנית עם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ומוכן לפעולה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סיבת החזקת הנשק נותרה עלומה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התובעת שלנאשם הרשעה נוספת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בריחה ממעצר וקבלת דבר במרמה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בגינה הוא מרצה כעת עונש של </w:t>
      </w:r>
      <w:r>
        <w:rPr>
          <w:rFonts w:cs="David" w:ascii="David" w:hAnsi="David"/>
        </w:rPr>
        <w:t>9.5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אותן עבר הנאשם לאחר שבית המשפט הורה על המשך מעצרו באיזוק אלקטרוני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ממעשה מרמה שביצע גרם לשחרורו ממעצר באיזוק אלקטרוני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עתרה לקביעת מתחם עונש הולם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הנחיית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וביקשה להטיל על הנאשם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ירוצה במצטבר לעונש המאסר אותו מרצה הנאשם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התובעת הגישה 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שהנאשם הודה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תיקון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חרטה בגין המעשה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חרף העובדה שהראיה היחידה שקשרה את הנאשם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בגינה 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היתה פרופיל די אן איי של הנאשם שהופק מהנשק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ידוע כמה זמן הוחזק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באיזה אופן ולאיזו מטרה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שהנאשם מרצה עונש מאסר בן </w:t>
      </w:r>
      <w:r>
        <w:rPr>
          <w:rFonts w:cs="David" w:ascii="David" w:hAnsi="David"/>
        </w:rPr>
        <w:t>9.5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תיק המרמה שהתנהל בבית המשפט המחוזי מרכז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חרף העובדה שאין לכך כל ביטוי בפרוטוקול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שהנאשם ביקש לצרף תיק זה לתיק שהתנהל נגדו בבית המשפט המחוזי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שלו היה מתבצע הצירוף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גוזר עליו בית המשפט המחוזי עונש שאינו מכביד יתר על המידה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המתחשב בצירוף ובניקוי השולחן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הסניגור טען שנוכח העובדה שהעבירות המאוחרות שביצע הנאשם קשורות לתיק דנן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קבלת דבר במרמה ובריחה ממעצר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הרי שאין להורות על הצטברות עונשים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שהמתחם לו עתרה המאשימה מוגזם ויש לקבוע מתחם עונש הולם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הפנה לנסיבות החיים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 שאמו עברה אירוע מוחי והוא היה זה שסעד אותה ולעובדה שהשתלב בהליך טיפולי בתוך כותלי בית הכלא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הסניגור להטיל ענישה מידתית ולהורות על חפיפת עונש המאסר שיוטל בתיק זה ליתרת עונש המאסר שנותר לנאשם לרצות בתיק האחר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הגיש 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בעבירה חמורה של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מסוג פשע שהעונש שלצידה עד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עבירה שזה מכבר הפכה לנפוצה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ממש ול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איזור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כאשר מדובר ביישובי השרון וביישובי המשולש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טייבה וקלאנסווה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לצערי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ביושבי בדין כשופט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מוקד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אין לי יום שבו לא מובאים לפניי מספר תיקים של החזקת נשק ותחמושת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עשרות רבות של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תתי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ואלפי כדורים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המוחזקים שלא כדין על ידי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בחצרות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בשטחים פתוחים ובכלי 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כלי נשק ותחמושת שעלולים להתגלגל לידיים עברייניות או לידיים עויינות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בטחוניות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כלי נשק המשמשים לתקיפה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לפתרון סכסוכים בדרכים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להפחדה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להגנה עצמית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כלי נשק המוחזקים בידיים בלתי מיומנות ובלתי כשרות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שכאשר מבוצע באמצעותם ירי עלולים לפגוע בחפים מפשע ולקפח חייהם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שלא אחת קורה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בכתב האישום דנן מצוין ש</w:t>
      </w:r>
      <w:r>
        <w:rPr>
          <w:rFonts w:ascii="David" w:hAnsi="David"/>
          <w:b/>
          <w:b/>
          <w:bCs/>
          <w:rtl w:val="true"/>
        </w:rPr>
        <w:t>השוטרים הגיעו סמוך לבית הנאשם בעקבות אירוע ירי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כמה אירועי ירי הפכו שכיחים באיזור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הערכים החברתיים המוגנים בביצוע העבירה הם שמירה על בטחון הציבור ושלומו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ערך קדושת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שלטון החוק ומניעת פגיעה באזרחים ומניעת זליגת כלי נשק ותחמושת לידיים עברייניות או בטחוניות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מידת הפגיעה בערכים החברתיים המוגנים היתה </w:t>
      </w:r>
      <w:r>
        <w:rPr>
          <w:rFonts w:ascii="David" w:hAnsi="David"/>
          <w:u w:val="single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מדובר בנשק 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תת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מקלע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הנשק היה מאולתר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ולא תקני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כך שלא עבר כל בקרה בטיחותית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הנשק היה טעון במחסנית ובה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הנשק הוחזק בחצר הצמודה לבית הנאשם ומוכן לפעולה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סיבת החזקת הנשק לא הובררה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ברור ולא ידוע כמה זמן החזיק הנאשם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נוכח העובדה שמדובר בעבירה שהיא בגדר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ועל מנת ליצור הרתעה ולהגן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קובעת הפסיקה שיש להחמיר בעונשיהם של מבצעי העבירות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הטלת מאסרים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לתקופות שאינן קצרות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לאחרונה מורגשת מגמת החמרה בענישה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ראה לדוגמא</w:t>
      </w:r>
      <w:r>
        <w:rPr>
          <w:rFonts w:cs="David" w:ascii="David" w:hAnsi="David"/>
          <w:rtl w:val="true"/>
        </w:rPr>
        <w:t xml:space="preserve">: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63642-12-18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 מוגרבי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30.4.20</w:t>
      </w:r>
      <w:r>
        <w:rPr>
          <w:rFonts w:cs="David" w:ascii="David" w:hAnsi="David"/>
          <w:rtl w:val="true"/>
        </w:rPr>
        <w:t xml:space="preserve">);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27108-01-16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נוסיראת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8.5.16</w:t>
      </w:r>
      <w:r>
        <w:rPr>
          <w:rFonts w:cs="David" w:ascii="David" w:hAnsi="David"/>
          <w:rtl w:val="true"/>
        </w:rPr>
        <w:t xml:space="preserve">);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50329-10-15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ענזי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26.1.16</w:t>
      </w:r>
      <w:r>
        <w:rPr>
          <w:rFonts w:cs="David" w:ascii="David" w:hAnsi="David"/>
          <w:rtl w:val="true"/>
        </w:rPr>
        <w:t xml:space="preserve">);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29239-05-19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זידאת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19.11.20</w:t>
      </w:r>
      <w:r>
        <w:rPr>
          <w:rFonts w:cs="David" w:ascii="David" w:hAnsi="David"/>
          <w:rtl w:val="true"/>
        </w:rPr>
        <w:t xml:space="preserve">);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רמלה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33552-09-16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חאמד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6.4.17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u w:val="single"/>
          <w:rtl w:val="true"/>
        </w:rPr>
        <w:t>וממש לאחרונה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2024-04-21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מנדורי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29.6.21</w:t>
      </w:r>
      <w:r>
        <w:rPr>
          <w:rFonts w:cs="David" w:ascii="David" w:hAnsi="David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הערכים החברתיים המוגנים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הנסיבות הקשורות בביצוע העבירה ונוכח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רכיבי ענישה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משאין מקום לחרוג ממתחם העונש ההולם לקולא מטעמי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לחומרא מטעמי 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את עונשו של הנאשם בתוך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לענין זה שקלתי את 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העובדה שבעת ביצוע העבירה היה 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העובדה שהנאשם הודה בעובדות כתב האישום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מלאה והביע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הביא לחסכון בזמן שיפוטי יקר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ואת נסיבות חייו כעולה מטיעוני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הבאתי בחשבון את התנהגותו של הנאשם לאחר ביצוע העבירה ואת העובדה שחרף האמון שנתן בו בית המשפט עת הורה על מעצרו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שב לבצע עבירות של בריחה ממעצר וקבלת דבר במרמה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בענין זה ייאמר שנוכח הוראות </w:t>
      </w:r>
      <w:hyperlink r:id="rId1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 הצטברות וחפיפה של עונשי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והפסיקה שפירשה אותו </w:t>
      </w:r>
      <w:r>
        <w:rPr>
          <w:rFonts w:cs="David" w:ascii="David" w:hAnsi="David"/>
          <w:rtl w:val="true"/>
        </w:rPr>
        <w:t>(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7907/14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ואזנה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22.2.15</w:t>
      </w:r>
      <w:r>
        <w:rPr>
          <w:rFonts w:cs="David" w:ascii="David" w:hAnsi="David"/>
          <w:rtl w:val="true"/>
        </w:rPr>
        <w:t xml:space="preserve">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3589/17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שמואל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10.2.20</w:t>
      </w:r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 xml:space="preserve">באתי לכלל מסקנה שיש להורות על </w:t>
      </w:r>
      <w:r>
        <w:rPr>
          <w:rFonts w:ascii="David" w:hAnsi="David"/>
          <w:u w:val="single"/>
          <w:rtl w:val="true"/>
        </w:rPr>
        <w:t>צבירת</w:t>
      </w:r>
      <w:r>
        <w:rPr>
          <w:rFonts w:ascii="David" w:hAnsi="David"/>
          <w:rtl w:val="true"/>
        </w:rPr>
        <w:t xml:space="preserve"> העונש שיוטל על הנאשם בתיק זה לעונש אותו הוא מרצה כעת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אופי המעשים בשני התיקים חמורים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בתיקנו מדובר בהחזקת רובה מאולתר טעון במחסנית ובה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ובתיק האחר מדובר בעבירות החותרות תחת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פוגעות בשלטון החוק ומביאות לפגיעה בשלום הציבור ובטחונו מקום בו נאשם שאמור לשהות במעצר באיזוק אלקטרוני יוצא לחופשי בשל עבירות חמורות שמבצע אגב 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מתקיימת בין העבירות זיקה הדוקה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באירוע אחד מדובר בהחזקת נשק שלא כדין ובאירוע שני מדובר בעבירות מרמה ושחיתות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u w:val="single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עקרון ההלימה מחייב הטלת עונשי מאסר נפרדים ומצטברים בגין שני האירועים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 למקם את עונשו של הנאשם בתחתית המתחם אותו קבעתי ולהורות שהנאשם ירצה את עונשו במצטבר לעונש אותו הוא מרצה כיום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ירוצה </w:t>
      </w:r>
      <w:r>
        <w:rPr>
          <w:rFonts w:ascii="David" w:hAnsi="David"/>
          <w:u w:val="single"/>
          <w:rtl w:val="true"/>
        </w:rPr>
        <w:t>במצטבר</w:t>
      </w:r>
      <w:r>
        <w:rPr>
          <w:rFonts w:ascii="David" w:hAnsi="David"/>
          <w:rtl w:val="true"/>
        </w:rPr>
        <w:t xml:space="preserve"> לכל עונש מאסר אותו מרצה הנאשם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ובניכוי ימי מעצרו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21.5.20-5.5.20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שלא יעבור כל עבירה הקשורה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תקופת המאסר הארוכה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 הנאשם לרצות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 להימנע מלהטיל עליו 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תשומת לב שב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ס שהנאשם מבקש להמשיך בהליך הטיפולי בו החל במסגרת שב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מוצגים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נשק ותחמושת להשמדה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לבית המשפט המחוזי מרכז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3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ט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יולי 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בנוכחות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מתמחה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מר אריאל סיני</w:t>
      </w:r>
      <w:r>
        <w:rPr>
          <w:rFonts w:cs="David" w:ascii="David" w:hAnsi="David"/>
          <w:b/>
          <w:bCs/>
          <w:rtl w:val="true"/>
        </w:rPr>
        <w:t xml:space="preserve">, </w:t>
      </w:r>
      <w:bookmarkEnd w:id="13"/>
      <w:r>
        <w:rPr>
          <w:rFonts w:ascii="David" w:hAnsi="David"/>
          <w:b/>
          <w:b/>
          <w:bCs/>
          <w:rtl w:val="true"/>
        </w:rPr>
        <w:t>הנאשם ובא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כוחו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20307-05-20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אסיל מסארוה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65784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5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5266865" TargetMode="External"/><Relationship Id="rId9" Type="http://schemas.openxmlformats.org/officeDocument/2006/relationships/hyperlink" Target="http://www.nevo.co.il/case/20881655" TargetMode="External"/><Relationship Id="rId10" Type="http://schemas.openxmlformats.org/officeDocument/2006/relationships/hyperlink" Target="http://www.nevo.co.il/case/20658167" TargetMode="External"/><Relationship Id="rId11" Type="http://schemas.openxmlformats.org/officeDocument/2006/relationships/hyperlink" Target="http://www.nevo.co.il/case/25691183" TargetMode="External"/><Relationship Id="rId12" Type="http://schemas.openxmlformats.org/officeDocument/2006/relationships/hyperlink" Target="http://www.nevo.co.il/case/21735914" TargetMode="External"/><Relationship Id="rId13" Type="http://schemas.openxmlformats.org/officeDocument/2006/relationships/hyperlink" Target="http://www.nevo.co.il/case/27510949" TargetMode="External"/><Relationship Id="rId14" Type="http://schemas.openxmlformats.org/officeDocument/2006/relationships/hyperlink" Target="http://www.nevo.co.il/law/70301/45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18654248" TargetMode="External"/><Relationship Id="rId17" Type="http://schemas.openxmlformats.org/officeDocument/2006/relationships/hyperlink" Target="http://www.nevo.co.il/case/22578455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2022-04-06T12:19:00Z</dcterms:created>
  <dc:creator> </dc:creator>
  <dc:description/>
  <cp:keywords/>
  <dc:language>en-IL</dc:language>
  <cp:lastModifiedBy>h1</cp:lastModifiedBy>
  <dcterms:modified xsi:type="dcterms:W3CDTF">2022-04-06T12:19:00Z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אסיל מסארוה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26657841;25266865;20881655;20658167;25691183;21735914;27510949;18654248;22578455</vt:lpwstr>
  </property>
  <property fmtid="{D5CDD505-2E9C-101B-9397-08002B2CF9AE}" pid="9" name="CITY">
    <vt:lpwstr>כ"ס</vt:lpwstr>
  </property>
  <property fmtid="{D5CDD505-2E9C-101B-9397-08002B2CF9AE}" pid="10" name="DATE">
    <vt:lpwstr>20210718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אביב שרון</vt:lpwstr>
  </property>
  <property fmtid="{D5CDD505-2E9C-101B-9397-08002B2CF9AE}" pid="14" name="LAWLISTTMP1">
    <vt:lpwstr>70301/144.a;045.b</vt:lpwstr>
  </property>
  <property fmtid="{D5CDD505-2E9C-101B-9397-08002B2CF9AE}" pid="15" name="LAWYER">
    <vt:lpwstr>אוריה תוהמי;שאדי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20307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380020210718</vt:lpwstr>
  </property>
  <property fmtid="{D5CDD505-2E9C-101B-9397-08002B2CF9AE}" pid="34" name="TYPE_N_DATE">
    <vt:lpwstr>38020210718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