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13"/>
        <w:gridCol w:w="430"/>
        <w:gridCol w:w="997"/>
        <w:gridCol w:w="517"/>
        <w:gridCol w:w="5045"/>
      </w:tblGrid>
      <w:tr>
        <w:trPr>
          <w:trHeight w:val="418" w:hRule="exact"/>
        </w:trPr>
        <w:tc>
          <w:tcPr>
            <w:tcW w:w="3757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81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2032-06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התשתיות הלאומיות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מרוות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514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2008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04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rFonts w:cs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התשתיות הלאומיות ת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1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 מרוות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2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 מדחאת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3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מוהנד כלילה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4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לואי כלילה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5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אובק גז בע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6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חרזאלה תמים באדי יאסין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</w:rPr>
              <w:t>7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עיסאם אבו יאסין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Style15"/>
        <w:spacing w:lineRule="auto" w:line="240"/>
        <w:ind w:end="0"/>
        <w:jc w:val="both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tl w:val="true"/>
        </w:rPr>
        <w:t xml:space="preserve"> המאשימה – עו</w:t>
      </w:r>
      <w:r>
        <w:rPr>
          <w:rtl w:val="true"/>
        </w:rPr>
        <w:t>"</w:t>
      </w:r>
      <w:r>
        <w:rPr>
          <w:rtl w:val="true"/>
        </w:rPr>
        <w:t>ד מנחם יהב</w:t>
      </w:r>
    </w:p>
    <w:p>
      <w:pPr>
        <w:pStyle w:val="Style15"/>
        <w:spacing w:lineRule="auto" w:line="240"/>
        <w:ind w:end="0"/>
        <w:jc w:val="both"/>
        <w:rPr/>
      </w:pPr>
      <w:r>
        <w:rPr>
          <w:rtl w:val="true"/>
        </w:rPr>
        <w:t>הנאשמים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- </w:t>
      </w:r>
      <w:r>
        <w:rPr>
          <w:rtl w:val="true"/>
        </w:rPr>
        <w:t>בעצמם</w:t>
      </w:r>
    </w:p>
    <w:p>
      <w:pPr>
        <w:pStyle w:val="Style15"/>
        <w:spacing w:lineRule="auto" w:line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4</w:t>
      </w:r>
      <w:r>
        <w:rPr>
          <w:rtl w:val="true"/>
        </w:rPr>
        <w:t xml:space="preserve"> –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סעדי נאסים</w:t>
      </w:r>
      <w:r>
        <w:rPr>
          <w:rtl w:val="true"/>
        </w:rPr>
        <w:t xml:space="preserve">, </w:t>
      </w:r>
      <w:r>
        <w:rPr>
          <w:rtl w:val="true"/>
        </w:rPr>
        <w:t>ממשרד עו</w:t>
      </w:r>
      <w:r>
        <w:rPr>
          <w:rtl w:val="true"/>
        </w:rPr>
        <w:t>"</w:t>
      </w:r>
      <w:r>
        <w:rPr>
          <w:rtl w:val="true"/>
        </w:rPr>
        <w:t>ד כעביה</w:t>
      </w:r>
    </w:p>
    <w:p>
      <w:pPr>
        <w:pStyle w:val="Style15"/>
        <w:spacing w:lineRule="auto" w:line="24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הנאשמים 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–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עדי ממשרד עו</w:t>
      </w:r>
      <w:r>
        <w:rPr>
          <w:rtl w:val="true"/>
        </w:rPr>
        <w:t>"</w:t>
      </w:r>
      <w:r>
        <w:rPr>
          <w:rtl w:val="true"/>
        </w:rPr>
        <w:t>ד שפיגלמן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 מס</w:t>
      </w:r>
      <w:r>
        <w:rPr>
          <w:u w:val="none"/>
          <w:rtl w:val="true"/>
        </w:rPr>
        <w:t xml:space="preserve">' </w:t>
      </w:r>
      <w:r>
        <w:rPr>
          <w:u w:val="none"/>
        </w:rPr>
        <w:t>7</w:t>
      </w:r>
      <w:r>
        <w:rPr>
          <w:u w:val="none"/>
          <w:rtl w:val="true"/>
        </w:rPr>
        <w:t xml:space="preserve"> 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גאנם</w:t>
      </w:r>
    </w:p>
    <w:p>
      <w:pPr>
        <w:pStyle w:val="Normal"/>
        <w:ind w:end="0"/>
        <w:jc w:val="start"/>
        <w:rPr>
          <w:b/>
          <w:bCs/>
          <w:sz w:val="20"/>
          <w:lang w:val="af-ZA" w:eastAsia="he-IL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lang w:val="af-ZA" w:eastAsia="he-IL"/>
        </w:rPr>
      </w:pPr>
      <w:r>
        <w:rPr>
          <w:rFonts w:cs="Arial" w:ascii="Arial" w:hAnsi="Arial"/>
          <w:b/>
          <w:bCs/>
          <w:sz w:val="28"/>
          <w:szCs w:val="28"/>
          <w:rtl w:val="true"/>
          <w:lang w:val="af-ZA" w:eastAsia="he-IL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tl w:val="true"/>
        </w:rPr>
        <w:t>לאחר שמיעת מלוא הראיות בתיק זה</w:t>
      </w:r>
      <w:r>
        <w:rPr>
          <w:rtl w:val="true"/>
        </w:rPr>
        <w:t xml:space="preserve">, </w:t>
      </w:r>
      <w:r>
        <w:rPr>
          <w:rtl w:val="true"/>
        </w:rPr>
        <w:t xml:space="preserve">ניתנה על ידי ביום </w:t>
      </w:r>
      <w:r>
        <w:rPr/>
        <w:t>21.9.08</w:t>
      </w:r>
      <w:r>
        <w:rPr>
          <w:rtl w:val="true"/>
        </w:rPr>
        <w:t xml:space="preserve"> </w:t>
      </w:r>
      <w:r>
        <w:rPr>
          <w:rtl w:val="true"/>
        </w:rPr>
        <w:t>הכרעת דין על פיה בוטל בפריט האישום השני שבכתב האישום האישום בעבירה של הספקת גז ללא רשיון</w:t>
      </w:r>
      <w:r>
        <w:rPr>
          <w:rtl w:val="true"/>
        </w:rPr>
        <w:t xml:space="preserve">, </w:t>
      </w:r>
      <w:r>
        <w:rPr>
          <w:rStyle w:val="normal-h"/>
          <w:rtl w:val="true"/>
        </w:rPr>
        <w:t xml:space="preserve">עבירה לפי סעיפים </w:t>
      </w:r>
      <w:r>
        <w:rPr>
          <w:rStyle w:val="normal-h"/>
        </w:rPr>
        <w:t>9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25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2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הגז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בטיחות ורישוי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תשמ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ט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1989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ככל שיוחס לנאשמים 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Style w:val="normal-h"/>
          <w:rtl w:val="true"/>
        </w:rPr>
        <w:t xml:space="preserve">כל הנאשמים זוכו מהעבירה של אי קיום </w:t>
      </w:r>
      <w:hyperlink r:id="rId3">
        <w:r>
          <w:rPr>
            <w:rStyle w:val="Hyperlink"/>
            <w:rtl w:val="true"/>
          </w:rPr>
          <w:t>כללי</w:t>
        </w:r>
        <w:r>
          <w:rPr>
            <w:rStyle w:val="Hyperlink"/>
            <w:rtl w:val="true"/>
          </w:rPr>
          <w:t xml:space="preserve"> בטיחות בעבודה</w:t>
        </w:r>
      </w:hyperlink>
      <w:r>
        <w:rPr>
          <w:rStyle w:val="normal-h"/>
          <w:rtl w:val="true"/>
        </w:rPr>
        <w:t xml:space="preserve"> לפי תקן רשמי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עבירה לפי סעיפים </w:t>
      </w:r>
      <w:r>
        <w:rPr>
          <w:rStyle w:val="normal-h"/>
        </w:rPr>
        <w:t>7</w:t>
      </w:r>
      <w:r>
        <w:rPr>
          <w:rStyle w:val="normal-h"/>
          <w:rtl w:val="true"/>
        </w:rPr>
        <w:t xml:space="preserve"> + </w:t>
      </w:r>
      <w:r>
        <w:rPr>
          <w:rStyle w:val="normal-h"/>
        </w:rPr>
        <w:t>19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4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התקנים</w:t>
        </w:r>
      </w:hyperlink>
      <w:r>
        <w:rPr>
          <w:rStyle w:val="normal-h"/>
          <w:rtl w:val="true"/>
        </w:rPr>
        <w:t xml:space="preserve"> בכל המתייחס למיקום מיכלי הגז במסעדה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לכך כי מכשירי הגז שהיו בשימוש לא היו תקינים ולא תאמו לדרישות תקן </w:t>
      </w:r>
      <w:r>
        <w:rPr>
          <w:rStyle w:val="normal-h"/>
        </w:rPr>
        <w:t>158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וכי לא היו מצוידים באביזר בטיחות טרמוקפל ולא היה עליהם סימון היצרן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בניגוד לתקן </w:t>
      </w:r>
      <w:r>
        <w:rPr>
          <w:rStyle w:val="normal-h"/>
        </w:rPr>
        <w:t>5056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והוראות מפרט טכני </w:t>
      </w:r>
      <w:r>
        <w:rPr>
          <w:rStyle w:val="normal-h"/>
        </w:rPr>
        <w:t>381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של מכון התקנים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Style w:val="normal-h"/>
          <w:rtl w:val="true"/>
        </w:rPr>
        <w:t>הנאשמים מס</w:t>
      </w:r>
      <w:r>
        <w:rPr>
          <w:rStyle w:val="normal-h"/>
          <w:rtl w:val="true"/>
        </w:rPr>
        <w:t xml:space="preserve">' 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4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5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6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7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זוכו מהעבירה של ביצוע עבודות גז על ידי מי שאינו מורשה לפי סעיפים </w:t>
      </w:r>
      <w:r>
        <w:rPr>
          <w:rStyle w:val="normal-h"/>
        </w:rPr>
        <w:t>9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25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א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הגז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בטיחות ורישוי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תשמ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ט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1989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וסעיף </w:t>
      </w:r>
      <w:r>
        <w:rPr>
          <w:rStyle w:val="normal-h"/>
        </w:rPr>
        <w:t>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6">
        <w:r>
          <w:rPr>
            <w:rStyle w:val="Hyperlink"/>
            <w:rtl w:val="true"/>
          </w:rPr>
          <w:t>צו</w:t>
        </w:r>
        <w:r>
          <w:rPr>
            <w:rStyle w:val="Hyperlink"/>
            <w:rtl w:val="true"/>
          </w:rPr>
          <w:t xml:space="preserve"> הפיקוח על מצרכים ושירותים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התקנת מתקני גז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תשל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ח</w:t>
      </w:r>
      <w:r>
        <w:rPr>
          <w:rStyle w:val="normal-h"/>
          <w:rtl w:val="true"/>
        </w:rPr>
        <w:t>-</w:t>
      </w:r>
      <w:r>
        <w:rPr>
          <w:rStyle w:val="normal-h"/>
        </w:rPr>
        <w:t>1977</w:t>
      </w:r>
      <w:r>
        <w:rPr>
          <w:rStyle w:val="normal-h"/>
          <w:rtl w:val="true"/>
        </w:rPr>
        <w:t>.  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Style w:val="normal-h"/>
          <w:rtl w:val="true"/>
        </w:rPr>
        <w:t xml:space="preserve">כל הנאשמים הורשעו בעבירה של הספקת גז למתקן שאינו בטיחותי בניגוד לסעיף </w:t>
      </w:r>
      <w:r>
        <w:rPr>
          <w:rStyle w:val="normal-h"/>
        </w:rPr>
        <w:t>7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7">
        <w:r>
          <w:rPr>
            <w:rStyle w:val="Hyperlink"/>
            <w:rtl w:val="true"/>
          </w:rPr>
          <w:t>צו</w:t>
        </w:r>
        <w:r>
          <w:rPr>
            <w:rStyle w:val="Hyperlink"/>
            <w:rtl w:val="true"/>
          </w:rPr>
          <w:t xml:space="preserve"> הפיקוח על מצרכים ושירותים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הבטחת האספקה של גפ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מ</w:t>
      </w:r>
      <w:r>
        <w:rPr>
          <w:rStyle w:val="normal-h"/>
          <w:rtl w:val="true"/>
        </w:rPr>
        <w:t xml:space="preserve">), </w:t>
      </w:r>
      <w:r>
        <w:rPr>
          <w:rStyle w:val="normal-h"/>
          <w:rtl w:val="true"/>
        </w:rPr>
        <w:t>תשמ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ט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1989+39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ג</w:t>
      </w:r>
      <w:r>
        <w:rPr>
          <w:rStyle w:val="normal-h"/>
          <w:rtl w:val="true"/>
        </w:rPr>
        <w:t>)</w:t>
      </w:r>
      <w:r>
        <w:rPr>
          <w:rStyle w:val="normal-h"/>
        </w:rPr>
        <w:t>4+39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הפיקוח על מצרכים ושירותים</w:t>
        </w:r>
      </w:hyperlink>
      <w:r>
        <w:rPr>
          <w:rStyle w:val="normal-h"/>
          <w:rtl w:val="true"/>
        </w:rPr>
        <w:t xml:space="preserve"> תשי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ח</w:t>
      </w:r>
      <w:r>
        <w:rPr>
          <w:rStyle w:val="normal-h"/>
          <w:rtl w:val="true"/>
        </w:rPr>
        <w:t>-</w:t>
      </w:r>
      <w:r>
        <w:rPr>
          <w:rStyle w:val="normal-h"/>
        </w:rPr>
        <w:t>1957</w:t>
      </w:r>
      <w:r>
        <w:rPr>
          <w:rStyle w:val="normal-h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Style w:val="normal-h"/>
          <w:rtl w:val="true"/>
        </w:rPr>
        <w:t xml:space="preserve">כן הורשעו הנאשמים 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2</w:t>
      </w:r>
      <w:r>
        <w:rPr>
          <w:rStyle w:val="normal-h"/>
          <w:rtl w:val="true"/>
        </w:rPr>
        <w:t xml:space="preserve">,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>-</w:t>
      </w:r>
      <w:r>
        <w:rPr>
          <w:rStyle w:val="normal-h"/>
        </w:rPr>
        <w:t>4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בעבירה של אי קיום </w:t>
      </w:r>
      <w:hyperlink r:id="rId9">
        <w:r>
          <w:rPr>
            <w:rStyle w:val="Hyperlink"/>
            <w:rtl w:val="true"/>
          </w:rPr>
          <w:t>כללי</w:t>
        </w:r>
        <w:r>
          <w:rPr>
            <w:rStyle w:val="Hyperlink"/>
            <w:rtl w:val="true"/>
          </w:rPr>
          <w:t xml:space="preserve"> בטיחות בעבודה</w:t>
        </w:r>
      </w:hyperlink>
      <w:r>
        <w:rPr>
          <w:rStyle w:val="normal-h"/>
          <w:rtl w:val="true"/>
        </w:rPr>
        <w:t xml:space="preserve"> לפי תקן רשמי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עבירה לפי סעיפים </w:t>
      </w:r>
      <w:r>
        <w:rPr>
          <w:rStyle w:val="normal-h"/>
        </w:rPr>
        <w:t>9+17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התקנים</w:t>
        </w:r>
      </w:hyperlink>
      <w:r>
        <w:rPr>
          <w:rStyle w:val="normal-h"/>
          <w:rtl w:val="true"/>
        </w:rPr>
        <w:t xml:space="preserve"> בכל המתייחס לאי התקנת ברז ראשי וברזי שלוחה במערכת הגז במסעדה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 מס</w:t>
      </w:r>
      <w:r>
        <w:rPr>
          <w:rStyle w:val="normal-h"/>
          <w:rtl w:val="true"/>
        </w:rPr>
        <w:t xml:space="preserve">' </w:t>
      </w:r>
      <w:r>
        <w:rPr>
          <w:rStyle w:val="normal-h"/>
        </w:rPr>
        <w:t>7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הורשע בעבירה של אי קיום </w:t>
      </w:r>
      <w:hyperlink r:id="rId11">
        <w:r>
          <w:rPr>
            <w:rStyle w:val="Hyperlink"/>
            <w:rtl w:val="true"/>
          </w:rPr>
          <w:t>כללי</w:t>
        </w:r>
        <w:r>
          <w:rPr>
            <w:rStyle w:val="Hyperlink"/>
            <w:rtl w:val="true"/>
          </w:rPr>
          <w:t xml:space="preserve"> בטיחות בעבודה</w:t>
        </w:r>
      </w:hyperlink>
      <w:r>
        <w:rPr>
          <w:rStyle w:val="normal-h"/>
          <w:rtl w:val="true"/>
        </w:rPr>
        <w:t xml:space="preserve"> לפי תקן רשמי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עבירה לפי סעיפים </w:t>
      </w:r>
      <w:r>
        <w:rPr>
          <w:rStyle w:val="normal-h"/>
        </w:rPr>
        <w:t>9+17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התקנים</w:t>
        </w:r>
      </w:hyperlink>
      <w:r>
        <w:rPr>
          <w:rStyle w:val="normal-h"/>
          <w:rtl w:val="true"/>
        </w:rPr>
        <w:t xml:space="preserve"> בכל המתייחס לאי התקנת ברז ראשי וברזי שלוחה במערכת הגז במסעדה</w:t>
      </w:r>
      <w:r>
        <w:rPr>
          <w:rStyle w:val="normal-h"/>
          <w:rtl w:val="true"/>
        </w:rPr>
        <w:t>.  </w:t>
      </w:r>
    </w:p>
    <w:p>
      <w:pPr>
        <w:pStyle w:val="Normal"/>
        <w:spacing w:lineRule="auto" w:line="360"/>
        <w:ind w:end="0"/>
        <w:jc w:val="start"/>
        <w:rPr>
          <w:rStyle w:val="normal-h"/>
        </w:rPr>
      </w:pPr>
      <w:r>
        <w:rPr>
          <w:rStyle w:val="normal-h"/>
          <w:rtl w:val="true"/>
        </w:rPr>
        <w:t>הנאשם מס</w:t>
      </w:r>
      <w:r>
        <w:rPr>
          <w:rStyle w:val="normal-h"/>
          <w:rtl w:val="true"/>
        </w:rPr>
        <w:t xml:space="preserve">' </w:t>
      </w:r>
      <w:r>
        <w:rPr>
          <w:rStyle w:val="normal-h"/>
        </w:rPr>
        <w:t>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הורשע בעבירה של ביצוע עבודות גז על ידי מי שאינו מורשה לפי סעיפים </w:t>
      </w:r>
      <w:r>
        <w:rPr>
          <w:rStyle w:val="normal-h"/>
        </w:rPr>
        <w:t>9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 xml:space="preserve">- </w:t>
      </w:r>
      <w:r>
        <w:rPr>
          <w:rStyle w:val="normal-h"/>
        </w:rPr>
        <w:t>25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א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הגז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בטיחות ורישוי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תשמ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ט</w:t>
      </w:r>
      <w:r>
        <w:rPr>
          <w:rStyle w:val="normal-h"/>
          <w:rtl w:val="true"/>
        </w:rPr>
        <w:t>-</w:t>
      </w:r>
      <w:r>
        <w:rPr>
          <w:rStyle w:val="normal-h"/>
        </w:rPr>
        <w:t>1989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וסעיף </w:t>
      </w:r>
      <w:r>
        <w:rPr>
          <w:rStyle w:val="normal-h"/>
        </w:rPr>
        <w:t>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14">
        <w:r>
          <w:rPr>
            <w:rStyle w:val="Hyperlink"/>
            <w:rtl w:val="true"/>
          </w:rPr>
          <w:t>צו</w:t>
        </w:r>
        <w:r>
          <w:rPr>
            <w:rStyle w:val="Hyperlink"/>
            <w:rtl w:val="true"/>
          </w:rPr>
          <w:t xml:space="preserve"> הפיקוח על מצרכים ושירותים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התקנת מתקני גז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תשל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ח</w:t>
      </w:r>
      <w:r>
        <w:rPr>
          <w:rStyle w:val="normal-h"/>
          <w:rtl w:val="true"/>
        </w:rPr>
        <w:t>-</w:t>
      </w:r>
      <w:r>
        <w:rPr>
          <w:rStyle w:val="normal-h"/>
        </w:rPr>
        <w:t>1977</w:t>
      </w:r>
      <w:r>
        <w:rPr>
          <w:rStyle w:val="normal-h"/>
          <w:rtl w:val="true"/>
        </w:rPr>
        <w:t>.  </w:t>
      </w:r>
    </w:p>
    <w:p>
      <w:pPr>
        <w:pStyle w:val="Normal"/>
        <w:spacing w:lineRule="auto" w:line="360"/>
        <w:ind w:end="0"/>
        <w:jc w:val="start"/>
        <w:rPr/>
      </w:pPr>
      <w:r>
        <w:rPr>
          <w:rStyle w:val="normal-h"/>
          <w:rtl w:val="true"/>
        </w:rPr>
        <w:t xml:space="preserve">הנאשמים </w:t>
      </w:r>
      <w:r>
        <w:rPr>
          <w:rStyle w:val="normal-h"/>
        </w:rPr>
        <w:t>1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ו</w:t>
      </w:r>
      <w:r>
        <w:rPr>
          <w:rStyle w:val="normal-h"/>
          <w:rtl w:val="true"/>
        </w:rPr>
        <w:t>-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הורשעו בעבירה של החזקה ושיווק גז במיכלי ספק אחר לפי סעיף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ל</w:t>
      </w:r>
      <w:hyperlink r:id="rId15">
        <w:r>
          <w:rPr>
            <w:rStyle w:val="Hyperlink"/>
            <w:rtl w:val="true"/>
          </w:rPr>
          <w:t>צו</w:t>
        </w:r>
        <w:r>
          <w:rPr>
            <w:rStyle w:val="Hyperlink"/>
            <w:rtl w:val="true"/>
          </w:rPr>
          <w:t xml:space="preserve"> הפיקוח על מצרכים ושירותים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(</w:t>
      </w:r>
      <w:r>
        <w:rPr>
          <w:rStyle w:val="normal-h"/>
          <w:rtl w:val="true"/>
        </w:rPr>
        <w:t>סימון ומילוי מיכלי גז</w:t>
      </w:r>
      <w:r>
        <w:rPr>
          <w:rStyle w:val="normal-h"/>
          <w:rtl w:val="true"/>
        </w:rPr>
        <w:t xml:space="preserve">) </w:t>
      </w:r>
      <w:r>
        <w:rPr>
          <w:rStyle w:val="normal-h"/>
          <w:rtl w:val="true"/>
        </w:rPr>
        <w:t>תשנ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א</w:t>
      </w:r>
      <w:r>
        <w:rPr>
          <w:rStyle w:val="normal-h"/>
          <w:rtl w:val="true"/>
        </w:rPr>
        <w:t>-</w:t>
      </w:r>
      <w:r>
        <w:rPr>
          <w:rStyle w:val="normal-h"/>
        </w:rPr>
        <w:t>1991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יחד עם סעיף </w:t>
      </w:r>
      <w:r>
        <w:rPr>
          <w:rStyle w:val="normal-h"/>
        </w:rPr>
        <w:t>39</w:t>
      </w: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 xml:space="preserve">' </w:t>
      </w:r>
      <w:r>
        <w:rPr>
          <w:rStyle w:val="normal-h"/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הפיקוח על מצרכים ושירותים</w:t>
        </w:r>
      </w:hyperlink>
      <w:r>
        <w:rPr>
          <w:rStyle w:val="normal-h"/>
          <w:rtl w:val="true"/>
        </w:rPr>
        <w:t xml:space="preserve"> תשי</w:t>
      </w:r>
      <w:r>
        <w:rPr>
          <w:rStyle w:val="normal-h"/>
          <w:rtl w:val="true"/>
        </w:rPr>
        <w:t>"</w:t>
      </w:r>
      <w:r>
        <w:rPr>
          <w:rStyle w:val="normal-h"/>
          <w:rtl w:val="true"/>
        </w:rPr>
        <w:t>ח</w:t>
      </w:r>
      <w:r>
        <w:rPr>
          <w:rStyle w:val="normal-h"/>
          <w:rtl w:val="true"/>
        </w:rPr>
        <w:t>-</w:t>
      </w:r>
      <w:r>
        <w:rPr>
          <w:rStyle w:val="normal-h"/>
        </w:rPr>
        <w:t>1957</w:t>
      </w:r>
      <w:r>
        <w:rPr>
          <w:rStyle w:val="normal-h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 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שפורט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הדין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בטיעוני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שהורשעו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שעניינן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שסכנתם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יחוייב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בהתחייבות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באירועים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שיוחסו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בפועל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במהותן</w:t>
      </w:r>
      <w:r>
        <w:rPr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בהתחשב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הנתונים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לנאשמים</w:t>
      </w:r>
      <w:r>
        <w:rPr>
          <w:rtl w:val="true"/>
        </w:rPr>
        <w:t xml:space="preserve"> 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6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5,000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הקנסות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ליום</w:t>
      </w:r>
      <w:r>
        <w:rPr>
          <w:rtl w:val="true"/>
        </w:rPr>
        <w:t xml:space="preserve"> </w:t>
      </w:r>
      <w:r>
        <w:rPr>
          <w:rFonts w:cs="David"/>
        </w:rPr>
        <w:t>15.1.09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15,000</w:t>
      </w:r>
      <w:r>
        <w:rPr>
          <w:rFonts w:cs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₪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להמנע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זהות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התחייבותה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Fonts w:cs="David"/>
          <w:rtl w:val="true"/>
        </w:rPr>
        <w:t xml:space="preserve">' </w:t>
      </w:r>
      <w:r>
        <w:rPr>
          <w:rFonts w:cs="David"/>
        </w:rPr>
        <w:t>5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למשך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tl w:val="true"/>
        </w:rPr>
        <w:t>בהתחשב בכך שקיימת תקלה במערכת המיחשוב ולא ניתן להוציא עותקים של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יחתמו הערבויות עד ליום </w:t>
      </w:r>
      <w:r>
        <w:rPr/>
        <w:t>25.12.08</w:t>
      </w:r>
      <w:r>
        <w:rPr>
          <w:rtl w:val="true"/>
        </w:rPr>
        <w:t>.</w:t>
      </w:r>
    </w:p>
    <w:p>
      <w:pPr>
        <w:pStyle w:val="normal-p"/>
        <w:bidi w:val="1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רחל חוזה </w:t>
      </w:r>
      <w:r>
        <w:rPr>
          <w:color w:val="000000"/>
          <w:sz w:val="22"/>
          <w:szCs w:val="22"/>
        </w:rPr>
        <w:t>54678313-2032/06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והודעה זכות הערעור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4608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08"/>
      </w:tblGrid>
      <w:tr>
        <w:trPr/>
        <w:tc>
          <w:tcPr>
            <w:tcW w:w="460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rFonts w:cs="FrankRuehl"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ניתנה והודעה היום י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ח כסלו תשס</w:t>
            </w:r>
            <w:r>
              <w:rPr>
                <w:rFonts w:eastAsia="David" w:cs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ט</w:t>
            </w:r>
            <w:r>
              <w:rPr>
                <w:rFonts w:eastAsia="David" w:cs="David"/>
                <w:b/>
                <w:bCs/>
                <w:rtl w:val="true"/>
              </w:rPr>
              <w:t xml:space="preserve">, </w:t>
            </w:r>
            <w:r>
              <w:rPr>
                <w:rFonts w:eastAsia="David" w:cs="David"/>
                <w:b/>
                <w:bCs/>
              </w:rPr>
              <w:t>15/12/2008</w:t>
            </w:r>
            <w:r>
              <w:rPr>
                <w:rFonts w:eastAsia="David" w:cs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במעמד הנוכחים</w:t>
            </w:r>
            <w:r>
              <w:rPr>
                <w:rFonts w:eastAsia="David" w:cs="David"/>
                <w:b/>
                <w:bCs/>
                <w:rtl w:val="true"/>
              </w:rPr>
              <w:t xml:space="preserve">.  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rFonts w:cs="FrankRuehl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cantSplit w:val="true"/>
        </w:trPr>
        <w:tc>
          <w:tcPr>
            <w:tcW w:w="460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רחל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חוזה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 xml:space="preserve">סגנית נשיא 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-p"/>
        <w:bidi w:val="1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-p"/>
        <w:bidi w:val="1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-p"/>
        <w:bidi w:val="1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normal-p"/>
        <w:bidi w:val="1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sz w:val="20"/>
          <w:lang w:val="af-ZA" w:eastAsia="he-IL"/>
        </w:rPr>
      </w:pPr>
      <w:r>
        <w:rPr>
          <w:b/>
          <w:bCs/>
          <w:rtl w:val="true"/>
        </w:rPr>
        <w:t xml:space="preserve">                                                                                                                         </w:t>
      </w:r>
    </w:p>
    <w:p>
      <w:pPr>
        <w:pStyle w:val="Normal"/>
        <w:ind w:end="0"/>
        <w:jc w:val="start"/>
        <w:rPr>
          <w:b/>
          <w:bCs/>
          <w:sz w:val="20"/>
          <w:lang w:val="af-ZA" w:eastAsia="he-IL"/>
        </w:rPr>
      </w:pPr>
      <w:r>
        <w:rPr>
          <w:b/>
          <w:bCs/>
          <w:sz w:val="20"/>
          <w:rtl w:val="true"/>
          <w:lang w:val="af-ZA"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פנינה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ברבי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/Users/liorb/Downloads/study2025-p2/SH-06-2032.doc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2032-06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משרד התשתיות הלאומיות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 מרוות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2032-06"/>
    <w:docVar w:name="caseId" w:val="5159544"/>
    <w:docVar w:name="deriveClass" w:val="NGCS.Protocol.BL.Client.ProtocolBLClientCriminal"/>
    <w:docVar w:name="firstPageNumber" w:val="28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191916"/>
    <w:docVar w:name="releaseSign" w:val="0"/>
    <w:docVar w:name="sittingDateTime" w:val="15/12/2008 10:30     "/>
    <w:docVar w:name="sittingId" w:val="1223367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normal-h">
    <w:name w:val="normal-h"/>
    <w:basedOn w:val="Style11"/>
    <w:qFormat/>
    <w:rPr/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5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58_001.htm" TargetMode="External"/><Relationship Id="rId3" Type="http://schemas.openxmlformats.org/officeDocument/2006/relationships/hyperlink" Target="http://www.nevo.co.il/links/law/?link=&#1499;&#1500;&#1500;&#1497;%20&#1492;&#1489;&#1496;&#1497;&#1495;&#1493;&#1514;%20&#1489;&#1506;&#1489;&#1493;&#1491;&#1492;" TargetMode="External"/><Relationship Id="rId4" Type="http://schemas.openxmlformats.org/officeDocument/2006/relationships/hyperlink" Target="http://www.nevo.co.il/law_html/law01/232_001.htm" TargetMode="External"/><Relationship Id="rId5" Type="http://schemas.openxmlformats.org/officeDocument/2006/relationships/hyperlink" Target="http://www.nevo.co.il/law_html/law01/058_001.htm" TargetMode="External"/><Relationship Id="rId6" Type="http://schemas.openxmlformats.org/officeDocument/2006/relationships/hyperlink" Target="http://www.nevo.co.il/links/law/?link=&#1510;&#1493;%20&#1492;&#1508;&#1497;&#1511;&#1493;&#1495;%20&#1506;&#1500;%20&#1502;&#1510;&#1512;&#1499;&#1497;&#1501;%20&#1493;&#1513;&#1497;&#1512;&#1493;&#1514;&#1497;&#1501;" TargetMode="External"/><Relationship Id="rId7" Type="http://schemas.openxmlformats.org/officeDocument/2006/relationships/hyperlink" Target="http://www.nevo.co.il/links/law/?link=&#1510;&#1493;%20&#1492;&#1508;&#1497;&#1511;&#1493;&#1495;%20&#1506;&#1500;%20&#1502;&#1510;&#1512;&#1499;&#1497;&#1501;%20&#1493;&#1513;&#1497;&#1512;&#1493;&#1514;&#1497;&#1501;" TargetMode="External"/><Relationship Id="rId8" Type="http://schemas.openxmlformats.org/officeDocument/2006/relationships/hyperlink" Target="http://www.nevo.co.il/links/law/?link=&#1495;&#1493;&#1511;%20&#1492;&#1508;&#1497;&#1511;&#1493;&#1495;%20&#1506;&#1500;%20&#1502;&#1510;&#1512;&#1499;&#1497;&#1501;%20&#1493;&#1513;&#1497;&#1512;&#1493;&#1514;&#1497;&#1501;" TargetMode="External"/><Relationship Id="rId9" Type="http://schemas.openxmlformats.org/officeDocument/2006/relationships/hyperlink" Target="http://www.nevo.co.il/links/law/?link=&#1499;&#1500;&#1500;&#1497;%20&#1492;&#1489;&#1496;&#1497;&#1495;&#1493;&#1514;%20&#1489;&#1506;&#1489;&#1493;&#1491;&#1492;" TargetMode="External"/><Relationship Id="rId10" Type="http://schemas.openxmlformats.org/officeDocument/2006/relationships/hyperlink" Target="http://www.nevo.co.il/law_html/law01/232_001.htm" TargetMode="External"/><Relationship Id="rId11" Type="http://schemas.openxmlformats.org/officeDocument/2006/relationships/hyperlink" Target="http://www.nevo.co.il/links/law/?link=&#1499;&#1500;&#1500;&#1497;%20&#1492;&#1489;&#1496;&#1497;&#1495;&#1493;&#1514;%20&#1489;&#1506;&#1489;&#1493;&#1491;&#1492;" TargetMode="External"/><Relationship Id="rId12" Type="http://schemas.openxmlformats.org/officeDocument/2006/relationships/hyperlink" Target="http://www.nevo.co.il/law_html/law01/232_001.htm" TargetMode="External"/><Relationship Id="rId13" Type="http://schemas.openxmlformats.org/officeDocument/2006/relationships/hyperlink" Target="http://www.nevo.co.il/law_html/law01/058_001.htm" TargetMode="External"/><Relationship Id="rId14" Type="http://schemas.openxmlformats.org/officeDocument/2006/relationships/hyperlink" Target="http://www.nevo.co.il/links/law/?link=&#1510;&#1493;%20&#1492;&#1508;&#1497;&#1511;&#1493;&#1495;%20&#1506;&#1500;%20&#1502;&#1510;&#1512;&#1499;&#1497;&#1501;%20&#1493;&#1513;&#1497;&#1512;&#1493;&#1514;&#1497;&#1501;" TargetMode="External"/><Relationship Id="rId15" Type="http://schemas.openxmlformats.org/officeDocument/2006/relationships/hyperlink" Target="http://www.nevo.co.il/links/law/?link=&#1510;&#1493;%20&#1492;&#1508;&#1497;&#1511;&#1493;&#1495;%20&#1506;&#1500;%20&#1502;&#1510;&#1512;&#1499;&#1497;&#1501;%20&#1493;&#1513;&#1497;&#1512;&#1493;&#1514;&#1497;&#1501;" TargetMode="External"/><Relationship Id="rId16" Type="http://schemas.openxmlformats.org/officeDocument/2006/relationships/hyperlink" Target="http://www.nevo.co.il/links/law/?link=&#1495;&#1493;&#1511;%20&#1492;&#1508;&#1497;&#1511;&#1493;&#1495;%20&#1506;&#1500;%20&#1502;&#1510;&#1512;&#1499;&#1497;&#1501;%20&#1493;&#1513;&#1497;&#1512;&#1493;&#1514;&#1497;&#1501;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2008-12-17T12:58:00Z</dcterms:created>
  <dc:creator> </dc:creator>
  <dc:description/>
  <cp:keywords/>
  <dc:language>en-IL</dc:language>
  <cp:lastModifiedBy>hofit</cp:lastModifiedBy>
  <dcterms:modified xsi:type="dcterms:W3CDTF">2008-12-17T14:30:00Z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משרד התשתיות הלאומיות ת#א</vt:lpwstr>
  </property>
  <property fmtid="{D5CDD505-2E9C-101B-9397-08002B2CF9AE}" pid="3" name="APPELLEE">
    <vt:lpwstr>יוסף מרוות;2 יוסף מדחאת;מוהנד כלילה;לואי כלילה;אובק גז בע#מ;חרזאלה תמים באדי יאסין;עיסאם אבו יאסין</vt:lpwstr>
  </property>
  <property fmtid="{D5CDD505-2E9C-101B-9397-08002B2CF9AE}" pid="4" name="CITY">
    <vt:lpwstr>חי'</vt:lpwstr>
  </property>
  <property fmtid="{D5CDD505-2E9C-101B-9397-08002B2CF9AE}" pid="5" name="DATE">
    <vt:lpwstr>20081215</vt:lpwstr>
  </property>
  <property fmtid="{D5CDD505-2E9C-101B-9397-08002B2CF9AE}" pid="6" name="DELEMATA">
    <vt:lpwstr/>
  </property>
  <property fmtid="{D5CDD505-2E9C-101B-9397-08002B2CF9AE}" pid="7" name="JUDGE">
    <vt:lpwstr>רחל חוזה</vt:lpwstr>
  </property>
  <property fmtid="{D5CDD505-2E9C-101B-9397-08002B2CF9AE}" pid="8" name="LAWYER">
    <vt:lpwstr>סעדי נאסים;כעביה;שפיגלמן;גאנם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2032</vt:lpwstr>
  </property>
  <property fmtid="{D5CDD505-2E9C-101B-9397-08002B2CF9AE}" pid="22" name="NEWPARTB">
    <vt:lpwstr/>
  </property>
  <property fmtid="{D5CDD505-2E9C-101B-9397-08002B2CF9AE}" pid="23" name="NEWPARTC">
    <vt:lpwstr>06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2032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380020081215</vt:lpwstr>
  </property>
  <property fmtid="{D5CDD505-2E9C-101B-9397-08002B2CF9AE}" pid="34" name="TYPE_N_DATE">
    <vt:lpwstr>38020081215</vt:lpwstr>
  </property>
  <property fmtid="{D5CDD505-2E9C-101B-9397-08002B2CF9AE}" pid="35" name="VOLUME">
    <vt:lpwstr/>
  </property>
  <property fmtid="{D5CDD505-2E9C-101B-9397-08002B2CF9AE}" pid="36" name="WORDNUMPAGES">
    <vt:lpwstr>3</vt:lpwstr>
  </property>
</Properties>
</file>