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6"/>
        <w:gridCol w:w="243"/>
        <w:gridCol w:w="3585"/>
      </w:tblGrid>
      <w:tr>
        <w:trPr>
          <w:trHeight w:val="418" w:hRule="exact"/>
        </w:trPr>
        <w:tc>
          <w:tcPr>
            <w:tcW w:w="8504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467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20375-06-14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בשרה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4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5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ואיל בשרה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וליד עפיפי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מטעם המאשימה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בני משה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הובא וע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סוהאד אגא מהסנגוריה הציבורית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בעצמו וע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ד סרי חורי מהסנגוריה הציבורית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firstLine="360" w:end="0"/>
        <w:jc w:val="both"/>
        <w:rPr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#2#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firstLine="36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390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</w:p>
    <w:p>
      <w:pPr>
        <w:pStyle w:val="Normal"/>
        <w:spacing w:lineRule="auto" w:line="360"/>
        <w:ind w:firstLine="360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firstLine="360"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פתח 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bookmarkStart w:id="10" w:name="ABSTRACT_START"/>
      <w:bookmarkEnd w:id="10"/>
      <w:r>
        <w:rPr>
          <w:rtl w:val="true"/>
        </w:rPr>
        <w:t>הנאשמים שלפניי הורשעו</w:t>
      </w:r>
      <w:r>
        <w:rPr>
          <w:rtl w:val="true"/>
        </w:rPr>
        <w:t xml:space="preserve">, </w:t>
      </w:r>
      <w:r>
        <w:rPr>
          <w:rtl w:val="true"/>
        </w:rPr>
        <w:t>על פי הודאתם במסגרת הסדר טיעון</w:t>
      </w:r>
      <w:r>
        <w:rPr>
          <w:rtl w:val="true"/>
        </w:rPr>
        <w:t xml:space="preserve">, </w:t>
      </w:r>
      <w:r>
        <w:rPr>
          <w:rtl w:val="true"/>
        </w:rPr>
        <w:t>שבאה לאחר שמיעת חלק מעדויות התביעה</w:t>
      </w:r>
      <w:r>
        <w:rPr>
          <w:rtl w:val="true"/>
        </w:rPr>
        <w:t xml:space="preserve">, </w:t>
      </w:r>
      <w:r>
        <w:rPr>
          <w:rtl w:val="true"/>
        </w:rPr>
        <w:t>בעבירות של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גניבה בידי עובד הציבור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390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נשיאת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החזקת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ירי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 ושיבוש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 בנוסף בנהיגה ללא רישיון נהיגה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פקודת 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 xml:space="preserve">, </w:t>
      </w:r>
      <w:r>
        <w:rPr>
          <w:rtl w:val="true"/>
        </w:rPr>
        <w:t>ובעבירה של נהיגה ללא פוליסת ביטוח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פקודת ביטוח רכב מנועי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1970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במסגרת הסדר הטיעון</w:t>
      </w:r>
      <w:r>
        <w:rPr>
          <w:rtl w:val="true"/>
        </w:rPr>
        <w:t xml:space="preserve">, </w:t>
      </w:r>
      <w:r>
        <w:rPr>
          <w:rtl w:val="true"/>
        </w:rPr>
        <w:t>חזרו בהם הנאשמים מכפירתם</w:t>
      </w:r>
      <w:r>
        <w:rPr>
          <w:rtl w:val="true"/>
        </w:rPr>
        <w:t xml:space="preserve">, </w:t>
      </w:r>
      <w:r>
        <w:rPr>
          <w:rtl w:val="true"/>
        </w:rPr>
        <w:t>הודו בעובדות כתב האישום</w:t>
      </w:r>
      <w:r>
        <w:rPr>
          <w:rtl w:val="true"/>
        </w:rPr>
        <w:t xml:space="preserve">, </w:t>
      </w:r>
      <w:r>
        <w:rPr>
          <w:rtl w:val="true"/>
        </w:rPr>
        <w:t>והורשעו בעבירות המיוחסות להם כאמור לעיל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 xml:space="preserve">הוסכם כי התביעה תעתור לעונשי מאסר בפועל למשך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ואילו הסנגורים יטענו לעונשי מאסר למשך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וכי יוטלו בנוסף עונשים נלווים</w:t>
      </w:r>
      <w:r>
        <w:rPr>
          <w:rtl w:val="true"/>
        </w:rPr>
        <w:t xml:space="preserve">. </w:t>
      </w:r>
      <w:r>
        <w:rPr>
          <w:rtl w:val="true"/>
        </w:rPr>
        <w:t xml:space="preserve">כן התקבלה בקשת סנגורו של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להפנותו לקבלת תסקיר שירות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 כתב האישום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סיגל קורניאנקו הנה חיילת בשירות סדיר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לזמן הרלוונטי</w:t>
      </w:r>
      <w:r>
        <w:rPr>
          <w:rtl w:val="true"/>
        </w:rPr>
        <w:t xml:space="preserve">, </w:t>
      </w:r>
      <w:r>
        <w:rPr>
          <w:rtl w:val="true"/>
        </w:rPr>
        <w:t>אשר החזיקה ברשותה נשק צהל</w:t>
      </w:r>
      <w:r>
        <w:rPr>
          <w:rtl w:val="true"/>
        </w:rPr>
        <w:t>"</w:t>
      </w:r>
      <w:r>
        <w:rPr>
          <w:rtl w:val="true"/>
        </w:rPr>
        <w:t xml:space="preserve">י מסוג </w:t>
      </w:r>
      <w:r>
        <w:rPr/>
        <w:t>16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 xml:space="preserve">קצר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 </w:t>
      </w:r>
      <w:r>
        <w:rPr>
          <w:rtl w:val="true"/>
        </w:rPr>
        <w:t>וכן מחסנית וכדורים לנשק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, </w:t>
      </w:r>
      <w:r>
        <w:rPr>
          <w:rtl w:val="true"/>
        </w:rPr>
        <w:t>בזמן הרלוונטי</w:t>
      </w:r>
      <w:r>
        <w:rPr>
          <w:rtl w:val="true"/>
        </w:rPr>
        <w:t xml:space="preserve">, </w:t>
      </w:r>
      <w:r>
        <w:rPr>
          <w:rtl w:val="true"/>
        </w:rPr>
        <w:t>קשר רומנטי עם החיילת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הנו בן דודו של נאשם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ביום </w:t>
      </w:r>
      <w:r>
        <w:rPr/>
        <w:t>25.5.14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12:00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הגיעה החיילת לנצרת כשהיא נושאת עמה את הנשק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אסף אותה ברכבו והסיע אותה לבית מלון </w:t>
      </w:r>
      <w:r>
        <w:rPr>
          <w:rtl w:val="true"/>
        </w:rPr>
        <w:t>"</w:t>
      </w:r>
      <w:r>
        <w:rPr>
          <w:rtl w:val="true"/>
        </w:rPr>
        <w:t>סנט גבריאל</w:t>
      </w:r>
      <w:r>
        <w:rPr>
          <w:rtl w:val="true"/>
        </w:rPr>
        <w:t xml:space="preserve">" </w:t>
      </w:r>
      <w:r>
        <w:rPr>
          <w:rtl w:val="true"/>
        </w:rPr>
        <w:t>בנצרת</w:t>
      </w:r>
      <w:r>
        <w:rPr>
          <w:rtl w:val="true"/>
        </w:rPr>
        <w:t xml:space="preserve">. </w:t>
      </w:r>
      <w:r>
        <w:rPr>
          <w:rtl w:val="true"/>
        </w:rPr>
        <w:t>באותו היום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או בסמוך</w:t>
      </w:r>
      <w:r>
        <w:rPr>
          <w:rtl w:val="true"/>
        </w:rPr>
        <w:t xml:space="preserve">, </w:t>
      </w:r>
      <w:r>
        <w:rPr>
          <w:rtl w:val="true"/>
        </w:rPr>
        <w:t xml:space="preserve">הגיע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למלון והחיילת הצטרפה אליו</w:t>
      </w:r>
      <w:r>
        <w:rPr>
          <w:rtl w:val="true"/>
        </w:rPr>
        <w:t xml:space="preserve">, </w:t>
      </w:r>
      <w:r>
        <w:rPr>
          <w:rtl w:val="true"/>
        </w:rPr>
        <w:t>כשהיא מותירה את הנשק במלון</w:t>
      </w:r>
      <w:r>
        <w:rPr>
          <w:rtl w:val="true"/>
        </w:rPr>
        <w:t xml:space="preserve">, </w:t>
      </w:r>
      <w:r>
        <w:rPr>
          <w:rtl w:val="true"/>
        </w:rPr>
        <w:t xml:space="preserve">לאחר שנאשם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תיאם עם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 יצאו יחד לבילוי</w:t>
      </w:r>
      <w:r>
        <w:rPr>
          <w:rtl w:val="true"/>
        </w:rPr>
        <w:t xml:space="preserve">. </w:t>
      </w:r>
      <w:r>
        <w:rPr>
          <w:rtl w:val="true"/>
        </w:rPr>
        <w:t xml:space="preserve">הנאשמים והחיילת נסעו ברכבו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מיצובישי 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/>
        <w:t>12-234-60</w:t>
      </w:r>
      <w:r>
        <w:rPr>
          <w:rtl w:val="true"/>
        </w:rPr>
        <w:t xml:space="preserve">, </w:t>
      </w:r>
      <w:r>
        <w:rPr>
          <w:rtl w:val="true"/>
        </w:rPr>
        <w:t xml:space="preserve">בעוד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נוהג ברכב שהוא ללא רישיון נהיגה וללא כיסוי ביטוחי כדין</w:t>
      </w:r>
      <w:r>
        <w:rPr>
          <w:rtl w:val="true"/>
        </w:rPr>
        <w:t xml:space="preserve">. </w:t>
      </w:r>
      <w:r>
        <w:rPr>
          <w:rtl w:val="true"/>
        </w:rPr>
        <w:t>בדרכם עצרו השלושה ורכשו משקאות אלכוהוליים</w:t>
      </w:r>
      <w:r>
        <w:rPr>
          <w:rtl w:val="true"/>
        </w:rPr>
        <w:t xml:space="preserve">. </w:t>
      </w:r>
      <w:r>
        <w:rPr>
          <w:rtl w:val="true"/>
        </w:rPr>
        <w:t xml:space="preserve">במהלך הנסיעה התעניין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בנשקה של החיילת וביקש לדעת איזה סוג של נשק יש ברשותה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לאחר שהנאשמים הפצירו בחיילת להראות להם את הנשק</w:t>
      </w:r>
      <w:r>
        <w:rPr>
          <w:rtl w:val="true"/>
        </w:rPr>
        <w:t xml:space="preserve">, </w:t>
      </w:r>
      <w:r>
        <w:rPr>
          <w:rtl w:val="true"/>
        </w:rPr>
        <w:t>חזרו הנאשמים והחיילת למלון במטרה להביא את הנשק</w:t>
      </w:r>
      <w:r>
        <w:rPr>
          <w:rtl w:val="true"/>
        </w:rPr>
        <w:t xml:space="preserve">, </w:t>
      </w:r>
      <w:r>
        <w:rPr>
          <w:rtl w:val="true"/>
        </w:rPr>
        <w:t xml:space="preserve">כשנאשם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נוהג ברכב</w:t>
      </w:r>
      <w:r>
        <w:rPr>
          <w:rtl w:val="true"/>
        </w:rPr>
        <w:t xml:space="preserve">, </w:t>
      </w:r>
      <w:r>
        <w:rPr>
          <w:rtl w:val="true"/>
        </w:rPr>
        <w:t>והחיילת הביאה עמה את הנשק ונסעה עם הנאשמים ברכב</w:t>
      </w:r>
      <w:r>
        <w:rPr>
          <w:rtl w:val="true"/>
        </w:rPr>
        <w:t xml:space="preserve">. </w:t>
      </w:r>
      <w:r>
        <w:rPr>
          <w:rtl w:val="true"/>
        </w:rPr>
        <w:t>בהמשך הנסיעה נסעו הנאשמים והחיילת לעבר כביש ראשי בשכונת אלמשארף בנצרת</w:t>
      </w:r>
      <w:r>
        <w:rPr>
          <w:rtl w:val="true"/>
        </w:rPr>
        <w:t xml:space="preserve">. </w:t>
      </w:r>
      <w:r>
        <w:rPr>
          <w:rtl w:val="true"/>
        </w:rPr>
        <w:t>לבקשת הנאשמים</w:t>
      </w:r>
      <w:r>
        <w:rPr>
          <w:rtl w:val="true"/>
        </w:rPr>
        <w:t xml:space="preserve">, </w:t>
      </w:r>
      <w:r>
        <w:rPr>
          <w:rtl w:val="true"/>
        </w:rPr>
        <w:t>אפשרה להם החיילת להחזיק בנשק</w:t>
      </w:r>
      <w:r>
        <w:rPr>
          <w:rtl w:val="true"/>
        </w:rPr>
        <w:t xml:space="preserve">, </w:t>
      </w:r>
      <w:r>
        <w:rPr>
          <w:rtl w:val="true"/>
        </w:rPr>
        <w:t>לשאת אותו ולבצע ממנו ירי</w:t>
      </w:r>
      <w:r>
        <w:rPr>
          <w:rtl w:val="true"/>
        </w:rPr>
        <w:t xml:space="preserve">, </w:t>
      </w:r>
      <w:r>
        <w:rPr>
          <w:rtl w:val="true"/>
        </w:rPr>
        <w:t>ללא רשות כדין</w:t>
      </w:r>
      <w:r>
        <w:rPr>
          <w:rtl w:val="true"/>
        </w:rPr>
        <w:t xml:space="preserve">. </w:t>
      </w:r>
      <w:r>
        <w:rPr>
          <w:rtl w:val="true"/>
        </w:rPr>
        <w:t>כן ירתה אף החיילת מהנשק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הנאשמים והחיילת המשיכו בנסיעתם ברכב</w:t>
      </w:r>
      <w:r>
        <w:rPr>
          <w:rtl w:val="true"/>
        </w:rPr>
        <w:t xml:space="preserve">, </w:t>
      </w:r>
      <w:r>
        <w:rPr>
          <w:rtl w:val="true"/>
        </w:rPr>
        <w:t>וחנו בפארק בנצרת</w:t>
      </w:r>
      <w:r>
        <w:rPr>
          <w:rtl w:val="true"/>
        </w:rPr>
        <w:t xml:space="preserve">. </w:t>
      </w:r>
      <w:r>
        <w:rPr>
          <w:rtl w:val="true"/>
        </w:rPr>
        <w:t>השלושה ירדו מהרכב כשהנשק נותר נעול בתוך הרכב במושב האחורי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שאל את החיילת האם באפשרותה להשיג עבורו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כדורים לרובה מסוג 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וכן רובה מסוג 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החיילת השיבה בשלילה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פנה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לחיילת וביקש ממנה למסור לו את הנשק שהושאר ברכב</w:t>
      </w:r>
      <w:r>
        <w:rPr>
          <w:rtl w:val="true"/>
        </w:rPr>
        <w:t xml:space="preserve">. </w:t>
      </w:r>
      <w:r>
        <w:rPr>
          <w:rtl w:val="true"/>
        </w:rPr>
        <w:t>החיילת סירבה</w:t>
      </w:r>
      <w:r>
        <w:rPr>
          <w:rtl w:val="true"/>
        </w:rPr>
        <w:t xml:space="preserve">, </w:t>
      </w:r>
      <w:r>
        <w:rPr>
          <w:rtl w:val="true"/>
        </w:rPr>
        <w:t>מחשש פן תסתבך ותיכנס לכלא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הרגיע אותה</w:t>
      </w:r>
      <w:r>
        <w:rPr>
          <w:rtl w:val="true"/>
        </w:rPr>
        <w:t xml:space="preserve">, </w:t>
      </w:r>
      <w:r>
        <w:rPr>
          <w:rtl w:val="true"/>
        </w:rPr>
        <w:t>והבטיח לה כי אין לה מה לדאוג מהיעלמות הנשק</w:t>
      </w:r>
      <w:r>
        <w:rPr>
          <w:rtl w:val="true"/>
        </w:rPr>
        <w:t xml:space="preserve">, </w:t>
      </w:r>
      <w:r>
        <w:rPr>
          <w:rtl w:val="true"/>
        </w:rPr>
        <w:t>וכי היא לא תהיה קשורה לעניין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ניגש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הוציא מתוכו את הנשק</w:t>
      </w:r>
      <w:r>
        <w:rPr>
          <w:rtl w:val="true"/>
        </w:rPr>
        <w:t xml:space="preserve">, </w:t>
      </w:r>
      <w:r>
        <w:rPr>
          <w:rtl w:val="true"/>
        </w:rPr>
        <w:t>ונטל אותו עמו</w:t>
      </w:r>
      <w:r>
        <w:rPr>
          <w:rtl w:val="true"/>
        </w:rPr>
        <w:t xml:space="preserve">, </w:t>
      </w:r>
      <w:r>
        <w:rPr>
          <w:rtl w:val="true"/>
        </w:rPr>
        <w:t xml:space="preserve">בנוכחות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והחיילת אשר הגיבה בשתיקה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ביקשו הנאשמים מן החיילת להמתין להם בפארק</w:t>
      </w:r>
      <w:r>
        <w:rPr>
          <w:rtl w:val="true"/>
        </w:rPr>
        <w:t xml:space="preserve">, </w:t>
      </w:r>
      <w:r>
        <w:rPr>
          <w:rtl w:val="true"/>
        </w:rPr>
        <w:t>בעוד הנאשמים מעבירים את הנשק למקום לא ידוע</w:t>
      </w:r>
      <w:r>
        <w:rPr>
          <w:rtl w:val="true"/>
        </w:rPr>
        <w:t xml:space="preserve">. </w:t>
      </w:r>
      <w:r>
        <w:rPr>
          <w:rtl w:val="true"/>
        </w:rPr>
        <w:t>בהמשך שבו הנאשמים לרכב ושברו את חלונותיו</w:t>
      </w:r>
      <w:r>
        <w:rPr>
          <w:rtl w:val="true"/>
        </w:rPr>
        <w:t xml:space="preserve">, </w:t>
      </w:r>
      <w:r>
        <w:rPr>
          <w:rtl w:val="true"/>
        </w:rPr>
        <w:t>על מנת ליצור מצג שווא כי הרכב נפרץ והנשק נגנב ממנו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הנחה את החיילת לומר כי פרצו לרכב וגנבו ממנו את הנשק והנאשם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צלצל למשטרה ודווח בכזב על פריצה וגניבה והכל במטרה לשבש את החקירה</w:t>
      </w:r>
      <w:r>
        <w:rPr>
          <w:rtl w:val="true"/>
        </w:rPr>
        <w:t xml:space="preserve">. </w:t>
      </w:r>
      <w:r>
        <w:rPr>
          <w:rtl w:val="true"/>
        </w:rPr>
        <w:t>בסמוך לאחר מכן הגיע סיור משטרתי למקום</w:t>
      </w:r>
      <w:r>
        <w:rPr>
          <w:rtl w:val="true"/>
        </w:rPr>
        <w:t xml:space="preserve">, </w:t>
      </w:r>
      <w:r>
        <w:rPr>
          <w:rtl w:val="true"/>
        </w:rPr>
        <w:t>והנאשמים והחיילת דווחו לשוטרים שהזעיקו למקום</w:t>
      </w:r>
      <w:r>
        <w:rPr>
          <w:rtl w:val="true"/>
        </w:rPr>
        <w:t xml:space="preserve">, </w:t>
      </w:r>
      <w:r>
        <w:rPr>
          <w:rtl w:val="true"/>
        </w:rPr>
        <w:t>כי אלמונים פרצו את הרכב</w:t>
      </w:r>
      <w:r>
        <w:rPr>
          <w:rtl w:val="true"/>
        </w:rPr>
        <w:t xml:space="preserve">, </w:t>
      </w:r>
      <w:r>
        <w:rPr>
          <w:rtl w:val="true"/>
        </w:rPr>
        <w:t>וגנבו ממנו את הנשק</w:t>
      </w:r>
      <w:r>
        <w:rPr>
          <w:rtl w:val="true"/>
        </w:rPr>
        <w:t xml:space="preserve">, </w:t>
      </w:r>
      <w:r>
        <w:rPr>
          <w:rtl w:val="true"/>
        </w:rPr>
        <w:t>ביודעם כי הודעתם כזב</w:t>
      </w:r>
      <w:r>
        <w:rPr>
          <w:rtl w:val="true"/>
        </w:rPr>
        <w:t xml:space="preserve">, </w:t>
      </w:r>
      <w:r>
        <w:rPr>
          <w:rtl w:val="true"/>
        </w:rPr>
        <w:t>ובמטרה לשבש הליך חקירה</w:t>
      </w:r>
      <w:r>
        <w:rPr>
          <w:rtl w:val="true"/>
        </w:rPr>
        <w:t xml:space="preserve">, </w:t>
      </w:r>
      <w:r>
        <w:rPr>
          <w:rtl w:val="true"/>
        </w:rPr>
        <w:t>לאחר שבעצמם ביימו את פריצת הרכב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תסקיר שירות המבחן לנאשם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 xml:space="preserve">פי תסקיר שירות המבחן שנערך בעניין של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14.5.15</w:t>
      </w:r>
      <w:r>
        <w:rPr>
          <w:rtl w:val="true"/>
        </w:rPr>
        <w:t xml:space="preserve">, </w:t>
      </w:r>
      <w:r>
        <w:rPr>
          <w:rtl w:val="true"/>
        </w:rPr>
        <w:t xml:space="preserve">מדובר בצעיר בן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 xml:space="preserve">אשר 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ועבד עד למעצרו במשך כארבע שנים כשכיר אצל קבלן לעבודות חשמל</w:t>
      </w:r>
      <w:r>
        <w:rPr>
          <w:rtl w:val="true"/>
        </w:rPr>
        <w:t xml:space="preserve">. </w:t>
      </w:r>
      <w:r>
        <w:rPr>
          <w:rtl w:val="true"/>
        </w:rPr>
        <w:t>בעקבות מעורבותו נעצר למשך חודש ומחצה ושוחרר בתנאים מגבילים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 במעצרו הראשון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התקשה להסתגל לתנאי המעצר וחווה חרדה ואיום במגעיו עם הסובבים</w:t>
      </w:r>
      <w:r>
        <w:rPr>
          <w:rtl w:val="true"/>
        </w:rPr>
        <w:t xml:space="preserve">. </w:t>
      </w:r>
      <w:r>
        <w:rPr>
          <w:rtl w:val="true"/>
        </w:rPr>
        <w:t>בשלושת החודשים שקדמו לעריכת התסקיר</w:t>
      </w:r>
      <w:r>
        <w:rPr>
          <w:rtl w:val="true"/>
        </w:rPr>
        <w:t xml:space="preserve">, </w:t>
      </w:r>
      <w:r>
        <w:rPr>
          <w:rtl w:val="true"/>
        </w:rPr>
        <w:t>התאפשרה יציאתו ממעצר הבית לעבודה</w:t>
      </w:r>
      <w:r>
        <w:rPr>
          <w:rtl w:val="true"/>
        </w:rPr>
        <w:t xml:space="preserve">, </w:t>
      </w:r>
      <w:r>
        <w:rPr>
          <w:rtl w:val="true"/>
        </w:rPr>
        <w:t>והוא המשיך לעבוד עם אותו קבלן</w:t>
      </w:r>
      <w:r>
        <w:rPr>
          <w:rtl w:val="true"/>
        </w:rPr>
        <w:t xml:space="preserve">. </w:t>
      </w:r>
      <w:r>
        <w:rPr>
          <w:rtl w:val="true"/>
        </w:rPr>
        <w:t>משפחתו נמנית על המעמד הסוציו</w:t>
      </w:r>
      <w:r>
        <w:rPr>
          <w:rtl w:val="true"/>
        </w:rPr>
        <w:t>-</w:t>
      </w:r>
      <w:r>
        <w:rPr>
          <w:rtl w:val="true"/>
        </w:rPr>
        <w:t>אקונומי הנמוך</w:t>
      </w:r>
      <w:r>
        <w:rPr>
          <w:rtl w:val="true"/>
        </w:rPr>
        <w:t xml:space="preserve">, </w:t>
      </w:r>
      <w:r>
        <w:rPr>
          <w:rtl w:val="true"/>
        </w:rPr>
        <w:t>הסובלת ממצוקה ודוחק כלכלי</w:t>
      </w:r>
      <w:r>
        <w:rPr>
          <w:rtl w:val="true"/>
        </w:rPr>
        <w:t xml:space="preserve">, </w:t>
      </w:r>
      <w:r>
        <w:rPr>
          <w:rtl w:val="true"/>
        </w:rPr>
        <w:t>על רקע אבטלת האב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הנו הבן הבכור ומעצם מעמדו נדרש ליטול חלק בפרנסת 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מעיון בגיליון ההרשעות הפליליות של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עולה כי לחובתו הרשעה קודמת אחת משנת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בגין החזקת סכין</w:t>
      </w:r>
      <w:r>
        <w:rPr>
          <w:rtl w:val="true"/>
        </w:rPr>
        <w:t xml:space="preserve">, </w:t>
      </w:r>
      <w:r>
        <w:rPr>
          <w:rtl w:val="true"/>
        </w:rPr>
        <w:t>בגינה נדון בבית</w:t>
      </w:r>
      <w:r>
        <w:rPr>
          <w:rtl w:val="true"/>
        </w:rPr>
        <w:t>-</w:t>
      </w:r>
      <w:r>
        <w:rPr>
          <w:rtl w:val="true"/>
        </w:rPr>
        <w:t>משפט השלום למאסר בעבודות שירות למשך חודשיים</w:t>
      </w:r>
      <w:r>
        <w:rPr>
          <w:rtl w:val="true"/>
        </w:rPr>
        <w:t xml:space="preserve">, </w:t>
      </w:r>
      <w:r>
        <w:rPr>
          <w:rtl w:val="true"/>
        </w:rPr>
        <w:t>מאסר על</w:t>
      </w:r>
      <w:r>
        <w:rPr>
          <w:rtl w:val="true"/>
        </w:rPr>
        <w:t>-</w:t>
      </w:r>
      <w:r>
        <w:rPr>
          <w:rtl w:val="true"/>
        </w:rPr>
        <w:t>תנאי וקנס כספי</w:t>
      </w:r>
      <w:r>
        <w:rPr>
          <w:rtl w:val="true"/>
        </w:rPr>
        <w:t xml:space="preserve">. </w:t>
      </w:r>
      <w:r>
        <w:rPr>
          <w:rtl w:val="true"/>
        </w:rPr>
        <w:t>בערעור לבית</w:t>
      </w:r>
      <w:r>
        <w:rPr>
          <w:rtl w:val="true"/>
        </w:rPr>
        <w:t>-</w:t>
      </w:r>
      <w:r>
        <w:rPr>
          <w:rtl w:val="true"/>
        </w:rPr>
        <w:t>המשפט המחוזי בוטל עונש המאסר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ביחס למעורבות במקרה דנן</w:t>
      </w:r>
      <w:r>
        <w:rPr>
          <w:rtl w:val="true"/>
        </w:rPr>
        <w:t xml:space="preserve">, </w:t>
      </w:r>
      <w:r>
        <w:rPr>
          <w:rtl w:val="true"/>
        </w:rPr>
        <w:t>התרשם שירות המבחן מפער בין הודאתו בבית</w:t>
      </w:r>
      <w:r>
        <w:rPr>
          <w:rtl w:val="true"/>
        </w:rPr>
        <w:t>-</w:t>
      </w:r>
      <w:r>
        <w:rPr>
          <w:rtl w:val="true"/>
        </w:rPr>
        <w:t>המשפט ובין קבלת האחריות בפני שירות המבחן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ניסה למזער ולטשטש את חלקו בביצוע העבירה</w:t>
      </w:r>
      <w:r>
        <w:rPr>
          <w:rtl w:val="true"/>
        </w:rPr>
        <w:t xml:space="preserve">, </w:t>
      </w:r>
      <w:r>
        <w:rPr>
          <w:rtl w:val="true"/>
        </w:rPr>
        <w:t>תחילה טען כי הרכב נפרץ והנשק נגנב כשהם היו מחוץ לרכב</w:t>
      </w:r>
      <w:r>
        <w:rPr>
          <w:rtl w:val="true"/>
        </w:rPr>
        <w:t xml:space="preserve">, </w:t>
      </w:r>
      <w:r>
        <w:rPr>
          <w:rtl w:val="true"/>
        </w:rPr>
        <w:t>ורק לאחר ששירות המבחן עימת אותו עם הודאתו 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 xml:space="preserve">קיבל אחריות וציין כי </w:t>
      </w:r>
      <w:r>
        <w:rPr>
          <w:rtl w:val="true"/>
        </w:rPr>
        <w:t>"</w:t>
      </w:r>
      <w:r>
        <w:rPr>
          <w:rtl w:val="true"/>
        </w:rPr>
        <w:t>רוצה לסיים את התיק</w:t>
      </w:r>
      <w:r>
        <w:rPr>
          <w:rtl w:val="true"/>
        </w:rPr>
        <w:t xml:space="preserve">".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במסגרת הפיקוח של שירות המבחן במהלך מעצרו שולב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בקבוצה טיפולית</w:t>
      </w:r>
      <w:r>
        <w:rPr>
          <w:rtl w:val="true"/>
        </w:rPr>
        <w:t xml:space="preserve">, </w:t>
      </w:r>
      <w:r>
        <w:rPr>
          <w:rtl w:val="true"/>
        </w:rPr>
        <w:t>הגיע למפגשים</w:t>
      </w:r>
      <w:r>
        <w:rPr>
          <w:rtl w:val="true"/>
        </w:rPr>
        <w:t xml:space="preserve">, </w:t>
      </w:r>
      <w:r>
        <w:rPr>
          <w:rtl w:val="true"/>
        </w:rPr>
        <w:t>פעל בהתאם לכללים</w:t>
      </w:r>
      <w:r>
        <w:rPr>
          <w:rtl w:val="true"/>
        </w:rPr>
        <w:t xml:space="preserve">, </w:t>
      </w:r>
      <w:r>
        <w:rPr>
          <w:rtl w:val="true"/>
        </w:rPr>
        <w:t>שיתף בנסיבות מעצרו ואף החל להתבונן באופן ביקורתי בחלקו במעשים ובהתנהלותו</w:t>
      </w:r>
      <w:r>
        <w:rPr>
          <w:rtl w:val="true"/>
        </w:rPr>
        <w:t xml:space="preserve">. </w:t>
      </w:r>
      <w:r>
        <w:rPr>
          <w:rtl w:val="true"/>
        </w:rPr>
        <w:t>התרשמות שירות המבחן הנה כי מדובר בצעיר מופנם</w:t>
      </w:r>
      <w:r>
        <w:rPr>
          <w:rtl w:val="true"/>
        </w:rPr>
        <w:t xml:space="preserve">, </w:t>
      </w:r>
      <w:r>
        <w:rPr>
          <w:rtl w:val="true"/>
        </w:rPr>
        <w:t>בעל דימוי עצמי נמוך אשר פועל לעתים ללא הפעלת שיקול דעת בוגר ואחראי ומתוך קשיי תקשורת ורצון לשייכות</w:t>
      </w:r>
      <w:r>
        <w:rPr>
          <w:rtl w:val="true"/>
        </w:rPr>
        <w:t xml:space="preserve">. </w:t>
      </w:r>
      <w:r>
        <w:rPr>
          <w:rtl w:val="true"/>
        </w:rPr>
        <w:t>אישיותו שטחית וקונקרטית</w:t>
      </w:r>
      <w:r>
        <w:rPr>
          <w:rtl w:val="true"/>
        </w:rPr>
        <w:t xml:space="preserve">, </w:t>
      </w:r>
      <w:r>
        <w:rPr>
          <w:rtl w:val="true"/>
        </w:rPr>
        <w:t>הוא נוטה לפעול מתוך מוקד שליטה חיצוני</w:t>
      </w:r>
      <w:r>
        <w:rPr>
          <w:rtl w:val="true"/>
        </w:rPr>
        <w:t xml:space="preserve">, </w:t>
      </w:r>
      <w:r>
        <w:rPr>
          <w:rtl w:val="true"/>
        </w:rPr>
        <w:t>בעל אופי וחלש ונגרר</w:t>
      </w:r>
      <w:r>
        <w:rPr>
          <w:rtl w:val="true"/>
        </w:rPr>
        <w:t xml:space="preserve">, </w:t>
      </w:r>
      <w:r>
        <w:rPr>
          <w:rtl w:val="true"/>
        </w:rPr>
        <w:t>יחסיו עם הסביבה מצומצמים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הוא אינו מאופיין בדפוסים אנטי חברתיים והחל דרך של התבוננות עצמית לראשונה בחייו</w:t>
      </w:r>
      <w:r>
        <w:rPr>
          <w:rtl w:val="true"/>
        </w:rPr>
        <w:t xml:space="preserve">. </w:t>
      </w:r>
      <w:r>
        <w:rPr>
          <w:rtl w:val="true"/>
        </w:rPr>
        <w:t>רמת המסוגלות שלו סבירה והוא יכול להסתגל למסגרות ולעמוד בגבולות המותר והאסור</w:t>
      </w:r>
      <w:r>
        <w:rPr>
          <w:rtl w:val="true"/>
        </w:rPr>
        <w:t xml:space="preserve">. </w:t>
      </w:r>
      <w:r>
        <w:rPr>
          <w:rtl w:val="true"/>
        </w:rPr>
        <w:t>נטייתו לטשטש ולעמעם את מעורבותו הקשתה על שירות המבחן לבחון את מצבו ולהעריך את מניעיו</w:t>
      </w:r>
      <w:r>
        <w:rPr>
          <w:rtl w:val="true"/>
        </w:rPr>
        <w:t xml:space="preserve">, </w:t>
      </w:r>
      <w:r>
        <w:rPr>
          <w:rtl w:val="true"/>
        </w:rPr>
        <w:t>באופן המהווה בסיס לתכנון התערבות טיפולית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התרשם שירות המבחן מקיומה של רמת סיכון משמעותית להישנות התנהגות פורצת גבולות בעתיד</w:t>
      </w:r>
      <w:r>
        <w:rPr>
          <w:rtl w:val="true"/>
        </w:rPr>
        <w:t xml:space="preserve">, </w:t>
      </w:r>
      <w:r>
        <w:rPr>
          <w:rtl w:val="true"/>
        </w:rPr>
        <w:t>והעדר יכולת להפיק תועלת מהליך טיפולי בשלב זה בחייו</w:t>
      </w:r>
      <w:r>
        <w:rPr>
          <w:rtl w:val="true"/>
        </w:rPr>
        <w:t xml:space="preserve">, </w:t>
      </w:r>
      <w:r>
        <w:rPr>
          <w:rtl w:val="true"/>
        </w:rPr>
        <w:t xml:space="preserve">ולפיכך נמנע ממתן המלצה חיובית בעניינו של הנאשם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המאשימה 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התייחסה בטיעוניה לחומרת העבירות בהם הורשעו הנאשמים</w:t>
      </w:r>
      <w:r>
        <w:rPr>
          <w:rtl w:val="true"/>
        </w:rPr>
        <w:t xml:space="preserve">, </w:t>
      </w:r>
      <w:r>
        <w:rPr>
          <w:rtl w:val="true"/>
        </w:rPr>
        <w:t>ועל הערך המוגן הנפגע בעבירות מסוג זה</w:t>
      </w:r>
      <w:r>
        <w:rPr>
          <w:rtl w:val="true"/>
        </w:rPr>
        <w:t xml:space="preserve">, </w:t>
      </w:r>
      <w:r>
        <w:rPr>
          <w:rtl w:val="true"/>
        </w:rPr>
        <w:t>הוא בטחון הציבור</w:t>
      </w:r>
      <w:r>
        <w:rPr>
          <w:rtl w:val="true"/>
        </w:rPr>
        <w:t xml:space="preserve">.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 והובלה של נשק חם ומסוכן</w:t>
      </w:r>
      <w:r>
        <w:rPr>
          <w:rtl w:val="true"/>
        </w:rPr>
        <w:t xml:space="preserve">, </w:t>
      </w:r>
      <w:r>
        <w:rPr>
          <w:rtl w:val="true"/>
        </w:rPr>
        <w:t>עלולה להסתכם בביצוע עבירות פליליות ולפגיעה בחיי אדם</w:t>
      </w:r>
      <w:r>
        <w:rPr>
          <w:rtl w:val="true"/>
        </w:rPr>
        <w:t xml:space="preserve">. </w:t>
      </w:r>
      <w:r>
        <w:rPr>
          <w:rtl w:val="true"/>
        </w:rPr>
        <w:t>קיים קושי לאמוד את מידת הפגיעה בערכים המוגנים</w:t>
      </w:r>
      <w:r>
        <w:rPr>
          <w:rtl w:val="true"/>
        </w:rPr>
        <w:t xml:space="preserve">, </w:t>
      </w:r>
      <w:r>
        <w:rPr>
          <w:rtl w:val="true"/>
        </w:rPr>
        <w:t>שכן אין לדעת לאן הנשק עלול להתגלגל</w:t>
      </w:r>
      <w:r>
        <w:rPr>
          <w:rtl w:val="true"/>
        </w:rPr>
        <w:t xml:space="preserve">, </w:t>
      </w:r>
      <w:r>
        <w:rPr>
          <w:rtl w:val="true"/>
        </w:rPr>
        <w:t>ומה יעלה בגורלו אם ייפול בידיים לא מיומנות או בידי עבריינים</w:t>
      </w:r>
      <w:r>
        <w:rPr>
          <w:rtl w:val="true"/>
        </w:rPr>
        <w:t xml:space="preserve">. </w:t>
      </w:r>
      <w:r>
        <w:rPr>
          <w:rtl w:val="true"/>
        </w:rPr>
        <w:t>מעשה הגניבה תוכנן על</w:t>
      </w:r>
      <w:r>
        <w:rPr>
          <w:rtl w:val="true"/>
        </w:rPr>
        <w:t>-</w:t>
      </w:r>
      <w:r>
        <w:rPr>
          <w:rtl w:val="true"/>
        </w:rPr>
        <w:t xml:space="preserve">ידי הנאשמים לאחר שהזדמן לידיהם </w:t>
      </w:r>
      <w:r>
        <w:rPr>
          <w:rtl w:val="true"/>
        </w:rPr>
        <w:t>"</w:t>
      </w:r>
      <w:r>
        <w:rPr>
          <w:rtl w:val="true"/>
        </w:rPr>
        <w:t>טרף קל</w:t>
      </w:r>
      <w:r>
        <w:rPr>
          <w:rtl w:val="true"/>
        </w:rPr>
        <w:t xml:space="preserve">", </w:t>
      </w:r>
      <w:r>
        <w:rPr>
          <w:rtl w:val="true"/>
        </w:rPr>
        <w:t xml:space="preserve">היא החיילת אשר פעלה מתוך קשר רגשי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ואמונה בו</w:t>
      </w:r>
      <w:r>
        <w:rPr>
          <w:rtl w:val="true"/>
        </w:rPr>
        <w:t xml:space="preserve">. </w:t>
      </w:r>
      <w:r>
        <w:rPr>
          <w:rtl w:val="true"/>
        </w:rPr>
        <w:t>הנאשמים ניצלו מצב זה</w:t>
      </w:r>
      <w:r>
        <w:rPr>
          <w:rtl w:val="true"/>
        </w:rPr>
        <w:t xml:space="preserve">, </w:t>
      </w:r>
      <w:r>
        <w:rPr>
          <w:rtl w:val="true"/>
        </w:rPr>
        <w:t>ביצעו את העבירה במלואה והם אחראים לה</w:t>
      </w:r>
      <w:r>
        <w:rPr>
          <w:rtl w:val="true"/>
        </w:rPr>
        <w:t xml:space="preserve">. </w:t>
      </w:r>
      <w:r>
        <w:rPr>
          <w:rtl w:val="true"/>
        </w:rPr>
        <w:t>עד היום טרם אותר הנשק שנגנב</w:t>
      </w:r>
      <w:r>
        <w:rPr>
          <w:rtl w:val="true"/>
        </w:rPr>
        <w:t xml:space="preserve">, </w:t>
      </w:r>
      <w:r>
        <w:rPr>
          <w:rtl w:val="true"/>
        </w:rPr>
        <w:t>והנאשם לא פעלו להשבתו</w:t>
      </w:r>
      <w:r>
        <w:rPr>
          <w:rtl w:val="true"/>
        </w:rPr>
        <w:t xml:space="preserve">, </w:t>
      </w:r>
      <w:r>
        <w:rPr>
          <w:rtl w:val="true"/>
        </w:rPr>
        <w:t>ובכך נוספה פגיעה לערך המוגן</w:t>
      </w:r>
      <w:r>
        <w:rPr>
          <w:rtl w:val="true"/>
        </w:rPr>
        <w:t xml:space="preserve">. </w:t>
      </w:r>
      <w:r>
        <w:rPr>
          <w:rtl w:val="true"/>
        </w:rPr>
        <w:t>מסירת גרסה שקרית בסמוך לאירוע</w:t>
      </w:r>
      <w:r>
        <w:rPr>
          <w:rtl w:val="true"/>
        </w:rPr>
        <w:t xml:space="preserve">, </w:t>
      </w:r>
      <w:r>
        <w:rPr>
          <w:rtl w:val="true"/>
        </w:rPr>
        <w:t>אפשרה למלט את הנשק הגנוב ולהרחיקו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באשר למדיניות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בפועל הוטלו על מבצעי עבירות דומות עונשי מאסר בפועל לתקופות משתנות</w:t>
      </w:r>
      <w:r>
        <w:rPr>
          <w:rtl w:val="true"/>
        </w:rPr>
        <w:t xml:space="preserve">, </w:t>
      </w:r>
      <w:r>
        <w:rPr>
          <w:rtl w:val="true"/>
        </w:rPr>
        <w:t>ולפי הפסיקה שהובאה על</w:t>
      </w:r>
      <w:r>
        <w:rPr>
          <w:rtl w:val="true"/>
        </w:rPr>
        <w:t>-</w:t>
      </w:r>
      <w:r>
        <w:rPr>
          <w:rtl w:val="true"/>
        </w:rPr>
        <w:t>ידי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במרבית המקרים דובר על מקרים של הובלה ונשיאה בלבד</w:t>
      </w:r>
      <w:r>
        <w:rPr>
          <w:rtl w:val="true"/>
        </w:rPr>
        <w:t xml:space="preserve">, </w:t>
      </w:r>
      <w:r>
        <w:rPr>
          <w:rtl w:val="true"/>
        </w:rPr>
        <w:t>ובעניינו נוספים עבירת הגניבה החמורה שבוצעה</w:t>
      </w:r>
      <w:r>
        <w:rPr>
          <w:rtl w:val="true"/>
        </w:rPr>
        <w:t xml:space="preserve">, </w:t>
      </w:r>
      <w:r>
        <w:rPr>
          <w:rtl w:val="true"/>
        </w:rPr>
        <w:t>שיבוש הליכי משפט</w:t>
      </w:r>
      <w:r>
        <w:rPr>
          <w:rtl w:val="true"/>
        </w:rPr>
        <w:t xml:space="preserve">, </w:t>
      </w:r>
      <w:r>
        <w:rPr>
          <w:rtl w:val="true"/>
        </w:rPr>
        <w:t>וכן ירי בפאתי שכונה מיושבת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באשר לנסיבותיו האישיות של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טענה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כי לו עבר פלילי בעבירות נשק </w:t>
      </w:r>
      <w:r>
        <w:rPr>
          <w:rtl w:val="true"/>
        </w:rPr>
        <w:t>(</w:t>
      </w:r>
      <w:r>
        <w:rPr>
          <w:rtl w:val="true"/>
        </w:rPr>
        <w:t>נשיאה והובלה</w:t>
      </w:r>
      <w:r>
        <w:rPr>
          <w:rtl w:val="true"/>
        </w:rPr>
        <w:t xml:space="preserve">), </w:t>
      </w:r>
      <w:r>
        <w:rPr>
          <w:rtl w:val="true"/>
        </w:rPr>
        <w:t>וכן בעבירות אלימות</w:t>
      </w:r>
      <w:r>
        <w:rPr>
          <w:rtl w:val="true"/>
        </w:rPr>
        <w:t xml:space="preserve">, </w:t>
      </w:r>
      <w:r>
        <w:rPr>
          <w:rtl w:val="true"/>
        </w:rPr>
        <w:t>פציעה וחבלה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 רק לאחר העדת העדה המרכזית וחקירתה</w:t>
      </w:r>
      <w:r>
        <w:rPr>
          <w:rtl w:val="true"/>
        </w:rPr>
        <w:t xml:space="preserve">, </w:t>
      </w:r>
      <w:r>
        <w:rPr>
          <w:rtl w:val="true"/>
        </w:rPr>
        <w:t>ובכך לא נחסך זמן שיפוטי</w:t>
      </w:r>
      <w:r>
        <w:rPr>
          <w:rtl w:val="true"/>
        </w:rPr>
        <w:t xml:space="preserve">. </w:t>
      </w:r>
      <w:r>
        <w:rPr>
          <w:rtl w:val="true"/>
        </w:rPr>
        <w:t>כן יש להביא בחשבון העדר שיתוף פעולה עם רשויות החקירה בהשבת הנשק והקטנת הנזק שעתיד להיגרם עקב מעשיו</w:t>
      </w:r>
      <w:r>
        <w:rPr>
          <w:rtl w:val="true"/>
        </w:rPr>
        <w:t xml:space="preserve">. </w:t>
      </w:r>
      <w:r>
        <w:rPr>
          <w:rtl w:val="true"/>
        </w:rPr>
        <w:t xml:space="preserve">באשר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נטען כי התסקיר שהוגש בעניינו מצביע על העדר נטילת אחריות ממשית</w:t>
      </w:r>
      <w:r>
        <w:rPr>
          <w:rtl w:val="true"/>
        </w:rPr>
        <w:t xml:space="preserve">, </w:t>
      </w:r>
      <w:r>
        <w:rPr>
          <w:rtl w:val="true"/>
        </w:rPr>
        <w:t>ועל העדר מאפיינים המצדיקים הטלת ענישה שיקומית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לדברי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אילולא הסדר הטיעון בין הצדדים</w:t>
      </w:r>
      <w:r>
        <w:rPr>
          <w:rtl w:val="true"/>
        </w:rPr>
        <w:t xml:space="preserve">, </w:t>
      </w:r>
      <w:r>
        <w:rPr>
          <w:rtl w:val="true"/>
        </w:rPr>
        <w:t>היה ראוי להטיל על הנאשמים עונשי מאסר ברף גבוה יותר מן המוסכם</w:t>
      </w:r>
      <w:r>
        <w:rPr>
          <w:rtl w:val="true"/>
        </w:rPr>
        <w:t xml:space="preserve">. </w:t>
      </w:r>
      <w:r>
        <w:rPr>
          <w:rtl w:val="true"/>
        </w:rPr>
        <w:t>עוד נטען כי הצורך בהרתעת הרבים מפני ביצוע מעשים דומים</w:t>
      </w:r>
      <w:r>
        <w:rPr>
          <w:rtl w:val="true"/>
        </w:rPr>
        <w:t xml:space="preserve">, </w:t>
      </w:r>
      <w:r>
        <w:rPr>
          <w:rtl w:val="true"/>
        </w:rPr>
        <w:t>מחייב הטלת ענישה מקסימלית בגדרי הסדר הטיעון לשני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קרי הטלת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כן עתרה המאשימה להטלת עונש קנס חמור שיגלם את הרווח הכלכלי שהפיקו הנאשמים מגניבת הנשק</w:t>
      </w:r>
      <w:r>
        <w:rPr>
          <w:rtl w:val="true"/>
        </w:rPr>
        <w:t xml:space="preserve">, </w:t>
      </w:r>
      <w:r>
        <w:rPr>
          <w:rtl w:val="true"/>
        </w:rPr>
        <w:t>ועונש מאסר מותנה ממושך ומרתיע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טיעוני הנאשם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עמדה על הפגיעה בערך החברתי של ביטחון הציבור</w:t>
      </w:r>
      <w:r>
        <w:rPr>
          <w:rtl w:val="true"/>
        </w:rPr>
        <w:t xml:space="preserve">, </w:t>
      </w:r>
      <w:r>
        <w:rPr>
          <w:rtl w:val="true"/>
        </w:rPr>
        <w:t xml:space="preserve">אך סברה כי אין לראות בנאשם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כאחראי בלעדי למעשה העבירה</w:t>
      </w:r>
      <w:r>
        <w:rPr>
          <w:rtl w:val="true"/>
        </w:rPr>
        <w:t xml:space="preserve">, </w:t>
      </w:r>
      <w:r>
        <w:rPr>
          <w:rtl w:val="true"/>
        </w:rPr>
        <w:t>שכן אלמלא שותפותה של החיילת למעשים האירוע לא היה יוצא לפועל</w:t>
      </w:r>
      <w:r>
        <w:rPr>
          <w:rtl w:val="true"/>
        </w:rPr>
        <w:t xml:space="preserve">. </w:t>
      </w:r>
      <w:r>
        <w:rPr>
          <w:rtl w:val="true"/>
        </w:rPr>
        <w:t>חלקה במעשים אקטיבי</w:t>
      </w:r>
      <w:r>
        <w:rPr>
          <w:rtl w:val="true"/>
        </w:rPr>
        <w:t xml:space="preserve">, </w:t>
      </w:r>
      <w:r>
        <w:rPr>
          <w:rtl w:val="true"/>
        </w:rPr>
        <w:t>היא כלל לא הייתה מי שנוצלה כטרף קל בידי הנאשמים</w:t>
      </w:r>
      <w:r>
        <w:rPr>
          <w:rtl w:val="true"/>
        </w:rPr>
        <w:t xml:space="preserve">, </w:t>
      </w:r>
      <w:r>
        <w:rPr>
          <w:rtl w:val="true"/>
        </w:rPr>
        <w:t>והדברים עלו מעדותה 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 xml:space="preserve">על החיילת הוטל 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טענה עוד כי מטיעוני המאשימה עולה ניסיון לייחס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פגיעה בערכים חברתיים</w:t>
      </w:r>
      <w:r>
        <w:rPr>
          <w:rtl w:val="true"/>
        </w:rPr>
        <w:t xml:space="preserve">, </w:t>
      </w:r>
      <w:r>
        <w:rPr>
          <w:rtl w:val="true"/>
        </w:rPr>
        <w:t>הנגרמת מסחר בנשק</w:t>
      </w:r>
      <w:r>
        <w:rPr>
          <w:rtl w:val="true"/>
        </w:rPr>
        <w:t xml:space="preserve">, </w:t>
      </w:r>
      <w:r>
        <w:rPr>
          <w:rtl w:val="true"/>
        </w:rPr>
        <w:t>אף שכלל לא יוחסה לו עבירה כזו</w:t>
      </w:r>
      <w:r>
        <w:rPr>
          <w:rtl w:val="true"/>
        </w:rPr>
        <w:t xml:space="preserve">. </w:t>
      </w:r>
      <w:r>
        <w:rPr>
          <w:rtl w:val="true"/>
        </w:rPr>
        <w:t>עוד טענה 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כי מדיניות הענישה הנהוגה בעבירות דומות נעה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באשר לנסיבותיו האישיות של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אמנם תחילה הכחיש את המיוחס לו</w:t>
      </w:r>
      <w:r>
        <w:rPr>
          <w:rtl w:val="true"/>
        </w:rPr>
        <w:t xml:space="preserve">, </w:t>
      </w:r>
      <w:r>
        <w:rPr>
          <w:rtl w:val="true"/>
        </w:rPr>
        <w:t>אך לבסוף הודה במעשים המיוחסים לו בכתב האישום</w:t>
      </w:r>
      <w:r>
        <w:rPr>
          <w:rtl w:val="true"/>
        </w:rPr>
        <w:t xml:space="preserve">, </w:t>
      </w:r>
      <w:r>
        <w:rPr>
          <w:rtl w:val="true"/>
        </w:rPr>
        <w:t>ובכך חסך זמן שיפוטי</w:t>
      </w:r>
      <w:r>
        <w:rPr>
          <w:rtl w:val="true"/>
        </w:rPr>
        <w:t xml:space="preserve">, </w:t>
      </w:r>
      <w:r>
        <w:rPr>
          <w:rtl w:val="true"/>
        </w:rPr>
        <w:t>שכן פרשת התביעה הסתכמה בשמיעת עדותה של החיילת</w:t>
      </w:r>
      <w:r>
        <w:rPr>
          <w:rtl w:val="true"/>
        </w:rPr>
        <w:t xml:space="preserve">. </w:t>
      </w:r>
      <w:r>
        <w:rPr>
          <w:rtl w:val="true"/>
        </w:rPr>
        <w:t>כן צוין כי החיילת הודתה גם היא לאחר תיקון כתב האישום ומשהובא בחשבון השיקול של מתן עדות כנגד הנאשמים</w:t>
      </w:r>
      <w:r>
        <w:rPr>
          <w:rtl w:val="true"/>
        </w:rPr>
        <w:t xml:space="preserve">, </w:t>
      </w:r>
      <w:r>
        <w:rPr>
          <w:rtl w:val="true"/>
        </w:rPr>
        <w:t>בעת גזירת עונשה</w:t>
      </w:r>
      <w:r>
        <w:rPr>
          <w:rtl w:val="true"/>
        </w:rPr>
        <w:t xml:space="preserve">. </w:t>
      </w:r>
      <w:r>
        <w:rPr>
          <w:rtl w:val="true"/>
        </w:rPr>
        <w:t>תיקון סעיף העבירה בעניינה נעשה אך ורק כדי להצדיק את הענישה ולא היה שינוי בעובדות המיוחסות לה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סברה 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כי יש להשוות את עונשו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לעונשה של החיילת</w:t>
      </w:r>
      <w:r>
        <w:rPr>
          <w:rtl w:val="true"/>
        </w:rPr>
        <w:t xml:space="preserve">, </w:t>
      </w:r>
      <w:r>
        <w:rPr>
          <w:rtl w:val="true"/>
        </w:rPr>
        <w:t>כשותפים מלאים למעשה ומתוקף העיקרון של אחידות הענישה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המשיכה וטענה בהרחבה כי אין מדובר בקורבן תמים של המעשים</w:t>
      </w:r>
      <w:r>
        <w:rPr>
          <w:rtl w:val="true"/>
        </w:rPr>
        <w:t xml:space="preserve">, </w:t>
      </w:r>
      <w:r>
        <w:rPr>
          <w:rtl w:val="true"/>
        </w:rPr>
        <w:t>אלא בשותפה פעילה ומלאה להם</w:t>
      </w:r>
      <w:r>
        <w:rPr>
          <w:rtl w:val="true"/>
        </w:rPr>
        <w:t xml:space="preserve">, </w:t>
      </w:r>
      <w:r>
        <w:rPr>
          <w:rtl w:val="true"/>
        </w:rPr>
        <w:t>באופן המצדיק את השוואת הענישה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התבקש בית</w:t>
      </w:r>
      <w:r>
        <w:rPr>
          <w:rtl w:val="true"/>
        </w:rPr>
        <w:t>-</w:t>
      </w:r>
      <w:r>
        <w:rPr>
          <w:rtl w:val="true"/>
        </w:rPr>
        <w:t xml:space="preserve">המשפט להטיל על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 שהוא ברף הנמוך של המתחם עליו סוכם במסגרת הסדר הטיעון</w:t>
      </w:r>
      <w:r>
        <w:rPr>
          <w:rtl w:val="true"/>
        </w:rPr>
        <w:t xml:space="preserve">. </w:t>
      </w:r>
      <w:r>
        <w:rPr>
          <w:rtl w:val="true"/>
        </w:rPr>
        <w:t>כן ביקשה להטיל עליו קנס סמלי בלבד</w:t>
      </w:r>
      <w:r>
        <w:rPr>
          <w:rtl w:val="true"/>
        </w:rPr>
        <w:t xml:space="preserve">, </w:t>
      </w:r>
      <w:r>
        <w:rPr>
          <w:rtl w:val="true"/>
        </w:rPr>
        <w:t>שכן לא הוכח דבר לעניין רווח כלשהו שהפיק הנאשם מגניבת הנשק</w:t>
      </w:r>
      <w:r>
        <w:rPr>
          <w:rtl w:val="true"/>
        </w:rPr>
        <w:t xml:space="preserve">, </w:t>
      </w:r>
      <w:r>
        <w:rPr>
          <w:rtl w:val="true"/>
        </w:rPr>
        <w:t>ואין לתת משקל לטענות המאשימה בעניין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טיעוני הנאשם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הצטרף לטיעוני 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באשר לאחידות הענישה בין הנאשמים ובין החיילת</w:t>
      </w:r>
      <w:r>
        <w:rPr>
          <w:rtl w:val="true"/>
        </w:rPr>
        <w:t xml:space="preserve">, </w:t>
      </w:r>
      <w:r>
        <w:rPr>
          <w:rtl w:val="true"/>
        </w:rPr>
        <w:t xml:space="preserve">וטען כי יש להטיל גם על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 שהוא ברף הנמוך של הטווח שאומץ בהסדר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קרי לכל היותר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הגם שהחיילת הורשעה בעבירה חמורה פחות</w:t>
      </w:r>
      <w:r>
        <w:rPr>
          <w:rtl w:val="true"/>
        </w:rPr>
        <w:t xml:space="preserve">, </w:t>
      </w:r>
      <w:r>
        <w:rPr>
          <w:rtl w:val="true"/>
        </w:rPr>
        <w:t>אך העונש משקף חומרה זו ואין להחמיר יותר ממנו</w:t>
      </w:r>
      <w:r>
        <w:rPr>
          <w:rtl w:val="true"/>
        </w:rPr>
        <w:t xml:space="preserve">. </w:t>
      </w:r>
      <w:r>
        <w:rPr>
          <w:rtl w:val="true"/>
        </w:rPr>
        <w:t>באשר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הביא את החיילת לידי ביצוע עבירה</w:t>
      </w:r>
      <w:r>
        <w:rPr>
          <w:rtl w:val="true"/>
        </w:rPr>
        <w:t xml:space="preserve">, </w:t>
      </w:r>
      <w:r>
        <w:rPr>
          <w:rtl w:val="true"/>
        </w:rPr>
        <w:t xml:space="preserve">אלא שהנאשם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 שחבר עם החיילת והיה מצוי עמה בקשר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נטל כל חלק בתכנון מוקדם כלשהו</w:t>
      </w:r>
      <w:r>
        <w:rPr>
          <w:rtl w:val="true"/>
        </w:rPr>
        <w:t xml:space="preserve">, </w:t>
      </w:r>
      <w:r>
        <w:rPr>
          <w:rtl w:val="true"/>
        </w:rPr>
        <w:t xml:space="preserve">ואף נוכחותו במהלך המעשים הייתה פאסיבית ולא פעילה כפי שהייתה נוכחותו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שהיה הוא הרוח החיה מאחורי המעשים</w:t>
      </w:r>
      <w:r>
        <w:rPr>
          <w:rtl w:val="true"/>
        </w:rPr>
        <w:t xml:space="preserve">. </w:t>
      </w:r>
      <w:r>
        <w:rPr>
          <w:rtl w:val="true"/>
        </w:rPr>
        <w:t xml:space="preserve">בפועל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החזיק את הנשק</w:t>
      </w:r>
      <w:r>
        <w:rPr>
          <w:rtl w:val="true"/>
        </w:rPr>
        <w:t xml:space="preserve">, </w:t>
      </w:r>
      <w:r>
        <w:rPr>
          <w:rtl w:val="true"/>
        </w:rPr>
        <w:t>לא השתמש בו</w:t>
      </w:r>
      <w:r>
        <w:rPr>
          <w:rtl w:val="true"/>
        </w:rPr>
        <w:t xml:space="preserve">, </w:t>
      </w:r>
      <w:r>
        <w:rPr>
          <w:rtl w:val="true"/>
        </w:rPr>
        <w:t>ואינו יודע לאן נעלם והתגלגל הנשק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אף שיתף פעולה עם רשויות החקירה</w:t>
      </w:r>
      <w:r>
        <w:rPr>
          <w:rtl w:val="true"/>
        </w:rPr>
        <w:t xml:space="preserve">, </w:t>
      </w:r>
      <w:r>
        <w:rPr>
          <w:rtl w:val="true"/>
        </w:rPr>
        <w:t>וסייע בניסיון למצוא את הנשק</w:t>
      </w:r>
      <w:r>
        <w:rPr>
          <w:rtl w:val="true"/>
        </w:rPr>
        <w:t xml:space="preserve">. </w:t>
      </w:r>
      <w:r>
        <w:rPr>
          <w:rtl w:val="true"/>
        </w:rPr>
        <w:t xml:space="preserve">מדובר באדם דל שנסחף אחרי מעשיו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ועונשו צריך להיות נמוך מזה שייגזר על הנאשם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עברו הפלילי מתמצה בהרשעה אחת קודמת בלבד</w:t>
      </w:r>
      <w:r>
        <w:rPr>
          <w:rtl w:val="true"/>
        </w:rPr>
        <w:t xml:space="preserve">, </w:t>
      </w:r>
      <w:r>
        <w:rPr>
          <w:rtl w:val="true"/>
        </w:rPr>
        <w:t>בגינו נגזר עליו עונש מאסר מותנה בלבד</w:t>
      </w:r>
      <w:r>
        <w:rPr>
          <w:rtl w:val="true"/>
        </w:rPr>
        <w:t xml:space="preserve">. </w:t>
      </w:r>
      <w:r>
        <w:rPr>
          <w:rtl w:val="true"/>
        </w:rPr>
        <w:t>כן התבקש בית</w:t>
      </w:r>
      <w:r>
        <w:rPr>
          <w:rtl w:val="true"/>
        </w:rPr>
        <w:t>-</w:t>
      </w:r>
      <w:r>
        <w:rPr>
          <w:rtl w:val="true"/>
        </w:rPr>
        <w:t xml:space="preserve">המשפט להתחשב בתקופה הממושכת בה מצוי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במעצר בית מלא וחלקי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הנאשמים בדבריהם בבית</w:t>
      </w:r>
      <w:r>
        <w:rPr>
          <w:rtl w:val="true"/>
        </w:rPr>
        <w:t>-</w:t>
      </w:r>
      <w:r>
        <w:rPr>
          <w:rtl w:val="true"/>
        </w:rPr>
        <w:t>המשפט ביקשו סליחה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מעשי הנאשמים שלפניי משקפים עבירות חמורות הפוגעות בביטחון ובשלום הציבור</w:t>
      </w:r>
      <w:r>
        <w:rPr>
          <w:rtl w:val="true"/>
        </w:rPr>
        <w:t xml:space="preserve">, </w:t>
      </w:r>
      <w:r>
        <w:rPr>
          <w:rtl w:val="true"/>
        </w:rPr>
        <w:t>בסדר הציבורי</w:t>
      </w:r>
      <w:r>
        <w:rPr>
          <w:rtl w:val="true"/>
        </w:rPr>
        <w:t xml:space="preserve">, </w:t>
      </w:r>
      <w:r>
        <w:rPr>
          <w:rtl w:val="true"/>
        </w:rPr>
        <w:t>ומגלמות פוטנציאל לפגיעה בחיי אדם ובגופו</w:t>
      </w:r>
      <w:r>
        <w:rPr>
          <w:rtl w:val="true"/>
        </w:rPr>
        <w:t xml:space="preserve">. </w:t>
      </w:r>
      <w:r>
        <w:rPr>
          <w:rtl w:val="true"/>
        </w:rPr>
        <w:t>הסכנה הטמונה בהעברת נשק לידיים לא מורשות רבה</w:t>
      </w:r>
      <w:r>
        <w:rPr>
          <w:rtl w:val="true"/>
        </w:rPr>
        <w:t xml:space="preserve">, </w:t>
      </w:r>
      <w:r>
        <w:rPr>
          <w:rtl w:val="true"/>
        </w:rPr>
        <w:t>שכן עלול הנשק לשמש לפעילות עבריינית</w:t>
      </w:r>
      <w:r>
        <w:rPr>
          <w:rtl w:val="true"/>
        </w:rPr>
        <w:t xml:space="preserve">, </w:t>
      </w:r>
      <w:r>
        <w:rPr>
          <w:rtl w:val="true"/>
        </w:rPr>
        <w:t>ולגרום לפגיעה בחפים מפשע</w:t>
      </w:r>
      <w:r>
        <w:rPr>
          <w:rtl w:val="true"/>
        </w:rPr>
        <w:t xml:space="preserve">. </w:t>
      </w:r>
      <w:r>
        <w:rPr>
          <w:rtl w:val="true"/>
        </w:rPr>
        <w:t>מבצעי עבירות נשק צפויים לענישה מחמירה ומרתיעה שתשקף את חומרת המעשים</w:t>
      </w:r>
      <w:r>
        <w:rPr>
          <w:rtl w:val="true"/>
        </w:rPr>
        <w:t xml:space="preserve">, </w:t>
      </w:r>
      <w:r>
        <w:rPr>
          <w:rtl w:val="true"/>
        </w:rPr>
        <w:t xml:space="preserve">ואת הצורך להגן על הציבור מפניהם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4460/11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פאיד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28.11.11</w:t>
      </w:r>
      <w:r>
        <w:rPr>
          <w:rtl w:val="true"/>
        </w:rPr>
        <w:t xml:space="preserve">)).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מוטלים עונשי מאסר לתקופות ממושכות על מבצעי עבירות נשק</w:t>
      </w:r>
      <w:r>
        <w:rPr>
          <w:rtl w:val="true"/>
        </w:rPr>
        <w:t xml:space="preserve">, </w:t>
      </w:r>
      <w:r>
        <w:rPr>
          <w:rtl w:val="true"/>
        </w:rPr>
        <w:t>בתלוי בנסיבות ביצוע העבירות ובתלוי בסוג העבירות</w:t>
      </w:r>
      <w:r>
        <w:rPr>
          <w:rtl w:val="true"/>
        </w:rPr>
        <w:t xml:space="preserve">. </w:t>
      </w:r>
      <w:r>
        <w:rPr>
          <w:rtl w:val="true"/>
        </w:rPr>
        <w:t>עוד נקבע בפסיקה</w:t>
      </w:r>
      <w:r>
        <w:rPr>
          <w:rtl w:val="true"/>
        </w:rPr>
        <w:t xml:space="preserve">, </w:t>
      </w:r>
      <w:r>
        <w:rPr>
          <w:rtl w:val="true"/>
        </w:rPr>
        <w:t>כי נסיבותיו האישיות של הנאשם ושיקולי השיקום שלו</w:t>
      </w:r>
      <w:r>
        <w:rPr>
          <w:rtl w:val="true"/>
        </w:rPr>
        <w:t xml:space="preserve">, </w:t>
      </w:r>
      <w:r>
        <w:rPr>
          <w:rtl w:val="true"/>
        </w:rPr>
        <w:t>נסוגים מפני האינטרס הציבורי שבהרתעת עבריינים פוטנציאליים</w:t>
      </w:r>
      <w:r>
        <w:rPr>
          <w:rtl w:val="true"/>
        </w:rPr>
        <w:t xml:space="preserve">, </w:t>
      </w:r>
      <w:r>
        <w:rPr>
          <w:rtl w:val="true"/>
        </w:rPr>
        <w:t>ומפני שיקולי גמול</w:t>
      </w:r>
      <w:r>
        <w:rPr>
          <w:rtl w:val="true"/>
        </w:rPr>
        <w:t xml:space="preserve">, </w:t>
      </w:r>
      <w:r>
        <w:rPr>
          <w:rtl w:val="true"/>
        </w:rPr>
        <w:t xml:space="preserve">וכן הוטלו עונשי מאסר בפועל גם על מי שביצע עבירת נשק כעבירה ראשונה וקיים ככלל אורח חיים נורמטיבי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דחאל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2004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3401</w:t>
      </w:r>
      <w:r>
        <w:rPr>
          <w:rtl w:val="true"/>
        </w:rPr>
        <w:t xml:space="preserve">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30/12/09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בנסיבות העניין שלפניי</w:t>
      </w:r>
      <w:r>
        <w:rPr>
          <w:rtl w:val="true"/>
        </w:rPr>
        <w:t xml:space="preserve">, </w:t>
      </w:r>
      <w:r>
        <w:rPr>
          <w:rtl w:val="true"/>
        </w:rPr>
        <w:t>הנאשמים חברו וביימו גניבת נשק צהל</w:t>
      </w:r>
      <w:r>
        <w:rPr>
          <w:rtl w:val="true"/>
        </w:rPr>
        <w:t>"</w:t>
      </w:r>
      <w:r>
        <w:rPr>
          <w:rtl w:val="true"/>
        </w:rPr>
        <w:t>י מרכבם</w:t>
      </w:r>
      <w:r>
        <w:rPr>
          <w:rtl w:val="true"/>
        </w:rPr>
        <w:t xml:space="preserve">, </w:t>
      </w:r>
      <w:r>
        <w:rPr>
          <w:rtl w:val="true"/>
        </w:rPr>
        <w:t>השייך לחיילת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שבינה ובין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 קשר רומנטי</w:t>
      </w:r>
      <w:r>
        <w:rPr>
          <w:rtl w:val="true"/>
        </w:rPr>
        <w:t xml:space="preserve">. </w:t>
      </w:r>
      <w:r>
        <w:rPr>
          <w:rtl w:val="true"/>
        </w:rPr>
        <w:t>מדובר במעשים שדרשו תכנון מוקדם</w:t>
      </w:r>
      <w:r>
        <w:rPr>
          <w:rtl w:val="true"/>
        </w:rPr>
        <w:t xml:space="preserve">, </w:t>
      </w:r>
      <w:r>
        <w:rPr>
          <w:rtl w:val="true"/>
        </w:rPr>
        <w:t>וכן ביצוע משותף של השלושה</w:t>
      </w:r>
      <w:r>
        <w:rPr>
          <w:rtl w:val="true"/>
        </w:rPr>
        <w:t xml:space="preserve">. </w:t>
      </w:r>
      <w:r>
        <w:rPr>
          <w:rtl w:val="true"/>
        </w:rPr>
        <w:t>הנשק הועבר על</w:t>
      </w:r>
      <w:r>
        <w:rPr>
          <w:rtl w:val="true"/>
        </w:rPr>
        <w:t>-</w:t>
      </w:r>
      <w:r>
        <w:rPr>
          <w:rtl w:val="true"/>
        </w:rPr>
        <w:t>ידי הנאשמים למקום לא ידוע</w:t>
      </w:r>
      <w:r>
        <w:rPr>
          <w:rtl w:val="true"/>
        </w:rPr>
        <w:t xml:space="preserve">, </w:t>
      </w:r>
      <w:r>
        <w:rPr>
          <w:rtl w:val="true"/>
        </w:rPr>
        <w:t>ועד היום לא נחשף מקום החזקתו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הנאשמים עשו שימוש בנשק על</w:t>
      </w:r>
      <w:r>
        <w:rPr>
          <w:rtl w:val="true"/>
        </w:rPr>
        <w:t>-</w:t>
      </w:r>
      <w:r>
        <w:rPr>
          <w:rtl w:val="true"/>
        </w:rPr>
        <w:t>מנת לבצע ירי מתוך הרכב בחלפם בשכונת מגורים</w:t>
      </w:r>
      <w:r>
        <w:rPr>
          <w:rtl w:val="true"/>
        </w:rPr>
        <w:t xml:space="preserve">. </w:t>
      </w:r>
      <w:r>
        <w:rPr>
          <w:rtl w:val="true"/>
        </w:rPr>
        <w:t>עקב בימוי הגניבה</w:t>
      </w:r>
      <w:r>
        <w:rPr>
          <w:rtl w:val="true"/>
        </w:rPr>
        <w:t xml:space="preserve">, </w:t>
      </w:r>
      <w:r>
        <w:rPr>
          <w:rtl w:val="true"/>
        </w:rPr>
        <w:t>ומסירת גרסה שקרית לשוטרים שהגיעו לזירה</w:t>
      </w:r>
      <w:r>
        <w:rPr>
          <w:rtl w:val="true"/>
        </w:rPr>
        <w:t xml:space="preserve">, </w:t>
      </w:r>
      <w:r>
        <w:rPr>
          <w:rtl w:val="true"/>
        </w:rPr>
        <w:t>הורשעו השניים גם בעבירה של שיבוש מהלכי משפט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הורשע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בנהיגה ללא רישיון נהיגה וללא פוליסת ביטוח</w:t>
      </w:r>
      <w:r>
        <w:rPr>
          <w:rtl w:val="true"/>
        </w:rPr>
        <w:t xml:space="preserve">. </w:t>
      </w:r>
      <w:r>
        <w:rPr>
          <w:rtl w:val="true"/>
        </w:rPr>
        <w:t>מעשים אלה מבטאים חומרה רבה</w:t>
      </w:r>
      <w:r>
        <w:rPr>
          <w:rtl w:val="true"/>
        </w:rPr>
        <w:t xml:space="preserve">, </w:t>
      </w:r>
      <w:r>
        <w:rPr>
          <w:rtl w:val="true"/>
        </w:rPr>
        <w:t xml:space="preserve">והם מצויים ברף הבינוני </w:t>
      </w:r>
      <w:r>
        <w:rPr>
          <w:rtl w:val="true"/>
        </w:rPr>
        <w:t xml:space="preserve">- </w:t>
      </w:r>
      <w:r>
        <w:rPr>
          <w:rtl w:val="true"/>
        </w:rPr>
        <w:t>גבוה של עבירות הנשק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ראיתי לאמץ את טענת הסנגורים לפיה לא הוכח</w:t>
      </w:r>
      <w:r>
        <w:rPr>
          <w:rtl w:val="true"/>
        </w:rPr>
        <w:t xml:space="preserve">, </w:t>
      </w:r>
      <w:r>
        <w:rPr>
          <w:rtl w:val="true"/>
        </w:rPr>
        <w:t>ולא נטען במסגרת עובדות האישום בהן הודו הנאשמים</w:t>
      </w:r>
      <w:r>
        <w:rPr>
          <w:rtl w:val="true"/>
        </w:rPr>
        <w:t xml:space="preserve">, </w:t>
      </w:r>
      <w:r>
        <w:rPr>
          <w:rtl w:val="true"/>
        </w:rPr>
        <w:t>כי הנאשמים סחרו בנשק או הפיקו רווח ממכירתו</w:t>
      </w:r>
      <w:r>
        <w:rPr>
          <w:rtl w:val="true"/>
        </w:rPr>
        <w:t xml:space="preserve">, </w:t>
      </w:r>
      <w:r>
        <w:rPr>
          <w:rtl w:val="true"/>
        </w:rPr>
        <w:t>ולפיכך אין לייחס להם את הנטען בסיכומי המאשימה</w:t>
      </w:r>
      <w:r>
        <w:rPr>
          <w:rtl w:val="true"/>
        </w:rPr>
        <w:t xml:space="preserve">, </w:t>
      </w:r>
      <w:r>
        <w:rPr>
          <w:rtl w:val="true"/>
        </w:rPr>
        <w:t>לפיו הפיקו רווח כספי וסחרו בנשק</w:t>
      </w:r>
      <w:r>
        <w:rPr>
          <w:rtl w:val="true"/>
        </w:rPr>
        <w:t xml:space="preserve">. </w:t>
      </w:r>
      <w:r>
        <w:rPr>
          <w:rtl w:val="true"/>
        </w:rPr>
        <w:t>כן סברתי</w:t>
      </w:r>
      <w:r>
        <w:rPr>
          <w:rtl w:val="true"/>
        </w:rPr>
        <w:t xml:space="preserve">, </w:t>
      </w:r>
      <w:r>
        <w:rPr>
          <w:rtl w:val="true"/>
        </w:rPr>
        <w:t>לאור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תפקד כרוח החיה מאחורי המעשים</w:t>
      </w:r>
      <w:r>
        <w:rPr>
          <w:rtl w:val="true"/>
        </w:rPr>
        <w:t xml:space="preserve">, </w:t>
      </w:r>
      <w:r>
        <w:rPr>
          <w:rtl w:val="true"/>
        </w:rPr>
        <w:t>הוביל וניווט אותם</w:t>
      </w:r>
      <w:r>
        <w:rPr>
          <w:rtl w:val="true"/>
        </w:rPr>
        <w:t xml:space="preserve">, </w:t>
      </w:r>
      <w:r>
        <w:rPr>
          <w:rtl w:val="true"/>
        </w:rPr>
        <w:t xml:space="preserve">ביחס למעשי הנאשם </w:t>
      </w:r>
      <w:r>
        <w:rPr/>
        <w:t>2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לאור המפורט</w:t>
      </w:r>
      <w:r>
        <w:rPr>
          <w:rtl w:val="true"/>
        </w:rPr>
        <w:t xml:space="preserve">, </w:t>
      </w:r>
      <w:r>
        <w:rPr>
          <w:rtl w:val="true"/>
        </w:rPr>
        <w:t>סבורני כי טווח הענישה עליו הוסכם במסגרת הסדר הטיעון</w:t>
      </w:r>
      <w:r>
        <w:rPr>
          <w:rtl w:val="true"/>
        </w:rPr>
        <w:t xml:space="preserve">, </w:t>
      </w:r>
      <w:r>
        <w:rPr>
          <w:rtl w:val="true"/>
        </w:rPr>
        <w:t>משקף את מתחם הענישה ההולם בנסיבות ביצוע העבירה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באשר לנסיבותיהם האישיות של הנאשמים שלפניי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הצביע על נסיבות אישיות יוצאות דופן אשר יש בכוחן להצדיק סטייה ממתחם הענישה ההולם</w:t>
      </w:r>
      <w:r>
        <w:rPr>
          <w:rtl w:val="true"/>
        </w:rPr>
        <w:t xml:space="preserve">, </w:t>
      </w:r>
      <w:r>
        <w:rPr>
          <w:rtl w:val="true"/>
        </w:rPr>
        <w:t>שיקולי שיקום כלשהם</w:t>
      </w:r>
      <w:r>
        <w:rPr>
          <w:rtl w:val="true"/>
        </w:rPr>
        <w:t xml:space="preserve">, </w:t>
      </w:r>
      <w:r>
        <w:rPr>
          <w:rtl w:val="true"/>
        </w:rPr>
        <w:t>או הטלת עונש שהוא ברף הנמוך של המתחם</w:t>
      </w:r>
      <w:r>
        <w:rPr>
          <w:rtl w:val="true"/>
        </w:rPr>
        <w:t xml:space="preserve">. </w:t>
      </w:r>
      <w:r>
        <w:rPr>
          <w:rtl w:val="true"/>
        </w:rPr>
        <w:t xml:space="preserve">מעיון בגיליון הרישום הפלילי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עולה כי לחובתו הרשעה קודמת</w:t>
      </w:r>
      <w:r>
        <w:rPr>
          <w:rtl w:val="true"/>
        </w:rPr>
        <w:t xml:space="preserve">, </w:t>
      </w:r>
      <w:r>
        <w:rPr>
          <w:rtl w:val="true"/>
        </w:rPr>
        <w:t xml:space="preserve">האחרונה שבהן משנת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בעבירות של נשיאת נשק והובלתו</w:t>
      </w:r>
      <w:r>
        <w:rPr>
          <w:rtl w:val="true"/>
        </w:rPr>
        <w:t xml:space="preserve">, </w:t>
      </w:r>
      <w:r>
        <w:rPr>
          <w:rtl w:val="true"/>
        </w:rPr>
        <w:t>עבירת פציעה ונהיגה ללא רישיון</w:t>
      </w:r>
      <w:r>
        <w:rPr>
          <w:rtl w:val="true"/>
        </w:rPr>
        <w:t xml:space="preserve">, </w:t>
      </w:r>
      <w:r>
        <w:rPr>
          <w:rtl w:val="true"/>
        </w:rPr>
        <w:t xml:space="preserve">בגינה הוטל עליו עונש מאסר בפועל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 מותנה</w:t>
      </w:r>
      <w:r>
        <w:rPr>
          <w:rtl w:val="true"/>
        </w:rPr>
        <w:t xml:space="preserve">, </w:t>
      </w:r>
      <w:r>
        <w:rPr>
          <w:rtl w:val="true"/>
        </w:rPr>
        <w:t>קנס ופסילת רישיון נהיגה בפועל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העובדה שהנאשם הורשע בעבר בעבירת נשק</w:t>
      </w:r>
      <w:r>
        <w:rPr>
          <w:rtl w:val="true"/>
        </w:rPr>
        <w:t xml:space="preserve">, </w:t>
      </w:r>
      <w:r>
        <w:rPr>
          <w:rtl w:val="true"/>
        </w:rPr>
        <w:t>וכן בנהיגה ללא רישיון נהיגה</w:t>
      </w:r>
      <w:r>
        <w:rPr>
          <w:rtl w:val="true"/>
        </w:rPr>
        <w:t xml:space="preserve">, </w:t>
      </w:r>
      <w:r>
        <w:rPr>
          <w:rtl w:val="true"/>
        </w:rPr>
        <w:t>וריצה עונש מאסר בפועל</w:t>
      </w:r>
      <w:r>
        <w:rPr>
          <w:rtl w:val="true"/>
        </w:rPr>
        <w:t xml:space="preserve">, </w:t>
      </w:r>
      <w:r>
        <w:rPr>
          <w:rtl w:val="true"/>
        </w:rPr>
        <w:t>מלמדת כי אין מורא החוק עליו</w:t>
      </w:r>
      <w:r>
        <w:rPr>
          <w:rtl w:val="true"/>
        </w:rPr>
        <w:t xml:space="preserve">, </w:t>
      </w:r>
      <w:r>
        <w:rPr>
          <w:rtl w:val="true"/>
        </w:rPr>
        <w:t>וכי הוא ראוי לענישה מחמירה ומרתיעה בגין המעשים דנן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באשר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מדובר בצעיר ללא עבר פלילי מכביד</w:t>
      </w:r>
      <w:r>
        <w:rPr>
          <w:rtl w:val="true"/>
        </w:rPr>
        <w:t xml:space="preserve">, </w:t>
      </w:r>
      <w:r>
        <w:rPr>
          <w:rtl w:val="true"/>
        </w:rPr>
        <w:t>אשר ככלל התנהל באופן נורמטיבי</w:t>
      </w:r>
      <w:r>
        <w:rPr>
          <w:rtl w:val="true"/>
        </w:rPr>
        <w:t xml:space="preserve">, </w:t>
      </w:r>
      <w:r>
        <w:rPr>
          <w:rtl w:val="true"/>
        </w:rPr>
        <w:t>אף שמאפייני אישיותו דלים</w:t>
      </w:r>
      <w:r>
        <w:rPr>
          <w:rtl w:val="true"/>
        </w:rPr>
        <w:t xml:space="preserve">. </w:t>
      </w:r>
      <w:r>
        <w:rPr>
          <w:rtl w:val="true"/>
        </w:rPr>
        <w:t>לחובתו הרשעה קודמת בעבירה של החזקת סכין</w:t>
      </w:r>
      <w:r>
        <w:rPr>
          <w:rtl w:val="true"/>
        </w:rPr>
        <w:t xml:space="preserve">, </w:t>
      </w:r>
      <w:r>
        <w:rPr>
          <w:rtl w:val="true"/>
        </w:rPr>
        <w:t>בגינה נגזר עליו עונש מאסר מותנה וקנס כספי</w:t>
      </w:r>
      <w:r>
        <w:rPr>
          <w:rtl w:val="true"/>
        </w:rPr>
        <w:t xml:space="preserve">. </w:t>
      </w:r>
      <w:r>
        <w:rPr>
          <w:rtl w:val="true"/>
        </w:rPr>
        <w:t>התסקיר פירט את נסיבות חייו</w:t>
      </w:r>
      <w:r>
        <w:rPr>
          <w:rtl w:val="true"/>
        </w:rPr>
        <w:t xml:space="preserve">, </w:t>
      </w:r>
      <w:r>
        <w:rPr>
          <w:rtl w:val="true"/>
        </w:rPr>
        <w:t>לרבות מצוקתה הכלכלית של משפחתו</w:t>
      </w:r>
      <w:r>
        <w:rPr>
          <w:rtl w:val="true"/>
        </w:rPr>
        <w:t xml:space="preserve">, </w:t>
      </w:r>
      <w:r>
        <w:rPr>
          <w:rtl w:val="true"/>
        </w:rPr>
        <w:t>ושירות המבחן נמנע מלבוא בהמלצה טיפולית בעניינו</w:t>
      </w:r>
      <w:r>
        <w:rPr>
          <w:rtl w:val="true"/>
        </w:rPr>
        <w:t xml:space="preserve">. </w:t>
      </w:r>
      <w:r>
        <w:rPr>
          <w:rtl w:val="true"/>
        </w:rPr>
        <w:t>נטילת האחריות בפני שירות המבחן לא הייתה מלאה וכנה</w:t>
      </w:r>
      <w:r>
        <w:rPr>
          <w:rtl w:val="true"/>
        </w:rPr>
        <w:t xml:space="preserve">. </w:t>
      </w:r>
      <w:r>
        <w:rPr>
          <w:rtl w:val="true"/>
        </w:rPr>
        <w:t>לאור חלקו הפחות</w:t>
      </w:r>
      <w:r>
        <w:rPr>
          <w:rtl w:val="true"/>
        </w:rPr>
        <w:t xml:space="preserve">, </w:t>
      </w:r>
      <w:r>
        <w:rPr>
          <w:rtl w:val="true"/>
        </w:rPr>
        <w:t>באופן יחסי</w:t>
      </w:r>
      <w:r>
        <w:rPr>
          <w:rtl w:val="true"/>
        </w:rPr>
        <w:t xml:space="preserve">,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ולאור העדר עבר פלילי</w:t>
      </w:r>
      <w:r>
        <w:rPr>
          <w:rtl w:val="true"/>
        </w:rPr>
        <w:t xml:space="preserve">, </w:t>
      </w:r>
      <w:r>
        <w:rPr>
          <w:rtl w:val="true"/>
        </w:rPr>
        <w:t>סברתי כי יש להעמיד את עונשו באופן שישקף זאת</w:t>
      </w:r>
      <w:r>
        <w:rPr>
          <w:rtl w:val="true"/>
        </w:rPr>
        <w:t xml:space="preserve">, </w:t>
      </w:r>
      <w:r>
        <w:rPr>
          <w:rtl w:val="true"/>
        </w:rPr>
        <w:t xml:space="preserve">ויפחת מעונשו של הנאשם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>באשר לעקרון אחידות הענישה</w:t>
      </w:r>
      <w:r>
        <w:rPr>
          <w:rtl w:val="true"/>
        </w:rPr>
        <w:t xml:space="preserve">, </w:t>
      </w:r>
      <w:r>
        <w:rPr>
          <w:rtl w:val="true"/>
        </w:rPr>
        <w:t>לו טענו הסנגורים וביחס לעונש שנגזר על החיילת בבית</w:t>
      </w:r>
      <w:r>
        <w:rPr>
          <w:rtl w:val="true"/>
        </w:rPr>
        <w:t>-</w:t>
      </w:r>
      <w:r>
        <w:rPr>
          <w:rtl w:val="true"/>
        </w:rPr>
        <w:t>דין צבאי</w:t>
      </w:r>
      <w:r>
        <w:rPr>
          <w:rtl w:val="true"/>
        </w:rPr>
        <w:t xml:space="preserve">, </w:t>
      </w:r>
      <w:r>
        <w:rPr>
          <w:rtl w:val="true"/>
        </w:rPr>
        <w:t xml:space="preserve">והוא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אכן יש מקום לתת לעקרון זה משקל</w:t>
      </w:r>
      <w:r>
        <w:rPr>
          <w:rtl w:val="true"/>
        </w:rPr>
        <w:t xml:space="preserve">, </w:t>
      </w:r>
      <w:r>
        <w:rPr>
          <w:rtl w:val="true"/>
        </w:rPr>
        <w:t>אך סבורני כי הנסיבות אינן מצביעות על צורך בהשוואת הענישה כלל וכלל</w:t>
      </w:r>
      <w:r>
        <w:rPr>
          <w:rtl w:val="true"/>
        </w:rPr>
        <w:t xml:space="preserve">, </w:t>
      </w:r>
      <w:r>
        <w:rPr>
          <w:rtl w:val="true"/>
        </w:rPr>
        <w:t>ולמעשה קיים הבדל ניכר בין חלקה של החיילת במעשים ובין חלקם של הנאשמים לפניי</w:t>
      </w:r>
      <w:r>
        <w:rPr>
          <w:rtl w:val="true"/>
        </w:rPr>
        <w:t xml:space="preserve">, </w:t>
      </w:r>
      <w:r>
        <w:rPr>
          <w:rtl w:val="true"/>
        </w:rPr>
        <w:t>הבדל לו יינתן ביטוי ברף הענישה המוטל</w:t>
      </w:r>
      <w:r>
        <w:rPr>
          <w:rtl w:val="true"/>
        </w:rPr>
        <w:t>.</w:t>
      </w:r>
    </w:p>
    <w:p>
      <w:pPr>
        <w:pStyle w:val="Normal"/>
        <w:spacing w:lineRule="auto" w:line="360"/>
        <w:ind w:start="-1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לאור המפורט 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ולאחר ששקלתי את השיקולים הצריכים לעניין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מטיל על כל אחד מהנאשמים את העונשים הבאים</w:t>
      </w:r>
      <w:r>
        <w:rPr>
          <w:b/>
          <w:bCs/>
          <w:rtl w:val="true"/>
        </w:rPr>
        <w:t>:</w:t>
      </w:r>
    </w:p>
    <w:p>
      <w:pPr>
        <w:pStyle w:val="ListParagraph"/>
        <w:ind w:end="0"/>
        <w:jc w:val="start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ListParagraph"/>
        <w:ind w:end="0"/>
        <w:jc w:val="start"/>
        <w:rPr>
          <w:rFonts w:cs="David"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1</w:t>
      </w:r>
      <w:r>
        <w:rPr>
          <w:rFonts w:cs="David"/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1"/>
          <w:numId w:val="2"/>
        </w:numPr>
        <w:spacing w:lineRule="auto" w:line="360"/>
        <w:ind w:hanging="36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ארבעים ושניים חודשי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מתוכם שלושים לריצוי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 ימי 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ואילו היתרה על 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למשך שלוש שנים מיום שחרורו ממאסר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 הוא כי הנאשם לא יעבור בפרק זמן זה כל עבירת נשק</w:t>
      </w:r>
      <w:r>
        <w:rPr>
          <w:b/>
          <w:bCs/>
          <w:rtl w:val="true"/>
        </w:rPr>
        <w:t>;</w:t>
      </w:r>
    </w:p>
    <w:p>
      <w:pPr>
        <w:pStyle w:val="Normal"/>
        <w:numPr>
          <w:ilvl w:val="1"/>
          <w:numId w:val="2"/>
        </w:numPr>
        <w:spacing w:lineRule="auto" w:line="360"/>
        <w:ind w:hanging="36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תשעה חודשי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 על 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למשך שלוש שנים מיום שחרורו ממאסר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 הוא כי הנאשם לא יעבור בפרק זמן זה עבירה של קשירת קשר לביצוע פשע או עבירה של ירי באזור מגורים</w:t>
      </w:r>
      <w:r>
        <w:rPr>
          <w:b/>
          <w:bCs/>
          <w:rtl w:val="true"/>
        </w:rPr>
        <w:t>;</w:t>
      </w:r>
    </w:p>
    <w:p>
      <w:pPr>
        <w:pStyle w:val="Normal"/>
        <w:numPr>
          <w:ilvl w:val="1"/>
          <w:numId w:val="2"/>
        </w:numPr>
        <w:spacing w:lineRule="auto" w:line="360"/>
        <w:ind w:hanging="36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שנתיים פסילת רישיון נהיגה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שיחלו מיום שחרורו של הנאשם ממאסר</w:t>
      </w:r>
      <w:r>
        <w:rPr>
          <w:b/>
          <w:bCs/>
          <w:rtl w:val="true"/>
        </w:rPr>
        <w:t>;</w:t>
      </w:r>
    </w:p>
    <w:p>
      <w:pPr>
        <w:pStyle w:val="Normal"/>
        <w:numPr>
          <w:ilvl w:val="1"/>
          <w:numId w:val="2"/>
        </w:numPr>
        <w:spacing w:lineRule="auto" w:line="360"/>
        <w:ind w:hanging="36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פסילת רישיון 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למשך ששה 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לתקופה שנתיים מיום סיום ריצוי הפסילה בפועל</w:t>
      </w:r>
      <w:r>
        <w:rPr>
          <w:b/>
          <w:bCs/>
          <w:rtl w:val="true"/>
        </w:rPr>
        <w:t>;</w:t>
      </w:r>
    </w:p>
    <w:p>
      <w:pPr>
        <w:pStyle w:val="Normal"/>
        <w:numPr>
          <w:ilvl w:val="1"/>
          <w:numId w:val="2"/>
        </w:numPr>
        <w:spacing w:lineRule="auto" w:line="360"/>
        <w:ind w:hanging="36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קנס בסך </w:t>
      </w:r>
      <w:r>
        <w:rPr>
          <w:b/>
          <w:bCs/>
        </w:rPr>
        <w:t>10,000</w:t>
      </w:r>
      <w:r>
        <w:rPr>
          <w:b/>
          <w:bCs/>
          <w:rtl w:val="true"/>
        </w:rPr>
        <w:t xml:space="preserve"> ₪ (</w:t>
      </w:r>
      <w:r>
        <w:rPr>
          <w:b/>
          <w:b/>
          <w:bCs/>
          <w:rtl w:val="true"/>
        </w:rPr>
        <w:t>עשרת אלפים שקלים חדשים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 מאסר תמורתו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בנוסף לכל מאסר אחר שהנאשם מרצה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הקנס ישולם בתוך </w:t>
      </w:r>
      <w:r>
        <w:rPr>
          <w:b/>
          <w:bCs/>
        </w:rPr>
        <w:t>180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נאשם </w:t>
      </w:r>
      <w:r>
        <w:rPr>
          <w:b/>
          <w:bCs/>
          <w:u w:val="single"/>
        </w:rPr>
        <w:t>2</w:t>
      </w:r>
    </w:p>
    <w:p>
      <w:pPr>
        <w:pStyle w:val="Normal"/>
        <w:numPr>
          <w:ilvl w:val="1"/>
          <w:numId w:val="4"/>
        </w:numPr>
        <w:spacing w:lineRule="auto" w:line="360"/>
        <w:ind w:hanging="36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שלושים וארבעה חודשי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מתוכם עשרים ושישה חודשים לריצוי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 ימי 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ואילו היתרה על 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למשך שלוש שנים מיום שחרורו ממאסר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 הוא כי הנאשם לא יעבור בפרק זמן זה כל עבירת נשק</w:t>
      </w:r>
      <w:r>
        <w:rPr>
          <w:b/>
          <w:bCs/>
          <w:rtl w:val="true"/>
        </w:rPr>
        <w:t>;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>
          <w:b/>
          <w:bCs/>
        </w:rPr>
      </w:pP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 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למשך שלוש שנים מיום שחרורו ממאסר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 הוא כי הנאשם לא יעבור בפרק זמן זה עבירה של קשירת קשר לביצוע 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 ירי באזור מגורים</w:t>
      </w:r>
      <w:r>
        <w:rPr>
          <w:b/>
          <w:bCs/>
          <w:rtl w:val="true"/>
        </w:rPr>
        <w:t>;</w:t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קנס בסך </w:t>
      </w:r>
      <w:r>
        <w:rPr>
          <w:b/>
          <w:bCs/>
        </w:rPr>
        <w:t>8,000</w:t>
      </w:r>
      <w:r>
        <w:rPr>
          <w:b/>
          <w:bCs/>
          <w:rtl w:val="true"/>
        </w:rPr>
        <w:t xml:space="preserve"> ₪ (</w:t>
      </w:r>
      <w:r>
        <w:rPr>
          <w:b/>
          <w:b/>
          <w:bCs/>
          <w:rtl w:val="true"/>
        </w:rPr>
        <w:t>שמונת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אלפים שקלים חדשים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 מאסר תמורתו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בנוסף לכל מאסר אחר שהנאשם מרצה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הקנס  ישולם בתוך </w:t>
      </w:r>
      <w:r>
        <w:rPr>
          <w:b/>
          <w:bCs/>
        </w:rPr>
        <w:t>180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 אלול 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/>
        <w:t>02/09/2015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תאופיק כתילי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פלאפון מסוג סמסונג ורוד</w:t>
      </w:r>
      <w:r>
        <w:rPr>
          <w:rtl w:val="true"/>
        </w:rPr>
        <w:t xml:space="preserve">,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 xml:space="preserve">מוצג </w:t>
      </w:r>
      <w:r>
        <w:rPr/>
        <w:t>6727549</w:t>
      </w:r>
      <w:r>
        <w:rPr>
          <w:rtl w:val="true"/>
        </w:rPr>
        <w:t xml:space="preserve">, </w:t>
      </w:r>
      <w:r>
        <w:rPr>
          <w:rtl w:val="true"/>
        </w:rPr>
        <w:t>יוחזר למר מוחמד בושרה 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/>
        <w:t>203587324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 אלול 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/>
        <w:t>02/09/2015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תאופיק כתילי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אני מורה על עיכוב ביצוע גזר הדין ככל שהדבר מתייחס לעונש המאסר בפועל למשך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בתום תקופה זו</w:t>
      </w:r>
      <w:r>
        <w:rPr>
          <w:rtl w:val="true"/>
        </w:rPr>
        <w:t xml:space="preserve">, </w:t>
      </w:r>
      <w:r>
        <w:rPr>
          <w:rtl w:val="true"/>
        </w:rPr>
        <w:t>על הנאשם להתייצב לשם ריצוי 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 תנאי השחרור בהם נתון הנאשם בעינם עומדים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כמו כן אני מחייב את הנאשם להתייצב במשטרת נצרת</w:t>
      </w:r>
      <w:r>
        <w:rPr>
          <w:rtl w:val="true"/>
        </w:rPr>
        <w:t xml:space="preserve">, </w:t>
      </w:r>
      <w:r>
        <w:rPr>
          <w:rtl w:val="true"/>
        </w:rPr>
        <w:t>מידי יום</w:t>
      </w:r>
      <w:r>
        <w:rPr>
          <w:rtl w:val="true"/>
        </w:rPr>
        <w:t xml:space="preserve">, </w:t>
      </w:r>
      <w:r>
        <w:rPr>
          <w:rtl w:val="true"/>
        </w:rPr>
        <w:t xml:space="preserve">בין השעות </w:t>
      </w:r>
      <w:r>
        <w:rPr/>
        <w:t>16.00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18.00</w:t>
      </w:r>
      <w:r>
        <w:rPr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ניתנה והודעה היום י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 אלול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02/09/2015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תאופיק כתילי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  <w:r>
        <w:rPr>
          <w:color w:val="000000"/>
          <w:sz w:val="22"/>
          <w:szCs w:val="22"/>
          <w:rtl w:val="true"/>
        </w:rPr>
        <w:t xml:space="preserve">  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20375-06-14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ואיל בשרה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4"/>
      <w:numFmt w:val="decimal"/>
      <w:lvlText w:val="%1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1">
      <w:start w:val="1"/>
      <w:numFmt w:val="hebrew1"/>
      <w:lvlText w:val="%2."/>
      <w:lvlJc w:val="center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1.%2.%3."/>
      <w:lvlJc w:val="start"/>
      <w:pPr>
        <w:tabs>
          <w:tab w:val="num" w:pos="1944"/>
        </w:tabs>
        <w:ind w:start="1944" w:hanging="504"/>
      </w:pPr>
    </w:lvl>
    <w:lvl w:ilvl="3">
      <w:start w:val="1"/>
      <w:numFmt w:val="decimal"/>
      <w:lvlText w:val="%1.%2.%3.%4."/>
      <w:lvlJc w:val="start"/>
      <w:pPr>
        <w:tabs>
          <w:tab w:val="num" w:pos="2448"/>
        </w:tabs>
        <w:ind w:start="2448" w:hanging="648"/>
      </w:pPr>
    </w:lvl>
    <w:lvl w:ilvl="4">
      <w:start w:val="1"/>
      <w:numFmt w:val="decimal"/>
      <w:lvlText w:val="%1.%2.%3.%4.%5."/>
      <w:lvlJc w:val="start"/>
      <w:pPr>
        <w:tabs>
          <w:tab w:val="num" w:pos="3240"/>
        </w:tabs>
        <w:ind w:start="2952" w:hanging="792"/>
      </w:pPr>
    </w:lvl>
    <w:lvl w:ilvl="5">
      <w:start w:val="1"/>
      <w:numFmt w:val="decimal"/>
      <w:lvlText w:val="%1.%2.%3.%4.%5.%6."/>
      <w:lvlJc w:val="start"/>
      <w:pPr>
        <w:tabs>
          <w:tab w:val="num" w:pos="3600"/>
        </w:tabs>
        <w:ind w:start="3456" w:hanging="936"/>
      </w:pPr>
    </w:lvl>
    <w:lvl w:ilvl="6">
      <w:start w:val="1"/>
      <w:numFmt w:val="decimal"/>
      <w:lvlText w:val="%1.%2.%3.%4.%5.%6.%7."/>
      <w:lvlJc w:val="start"/>
      <w:pPr>
        <w:tabs>
          <w:tab w:val="num" w:pos="4320"/>
        </w:tabs>
        <w:ind w:start="3960" w:hanging="1080"/>
      </w:pPr>
    </w:lvl>
    <w:lvl w:ilvl="7">
      <w:start w:val="1"/>
      <w:numFmt w:val="decimal"/>
      <w:lvlText w:val="%1.%2.%3.%4.%5.%6.%7.%8."/>
      <w:lvlJc w:val="start"/>
      <w:pPr>
        <w:tabs>
          <w:tab w:val="num" w:pos="4680"/>
        </w:tabs>
        <w:ind w:start="4464" w:hanging="1224"/>
      </w:pPr>
    </w:lvl>
    <w:lvl w:ilvl="8">
      <w:start w:val="1"/>
      <w:numFmt w:val="decimal"/>
      <w:lvlText w:val="%1.%2.%3.%4.%5.%6.%7.%8.%9."/>
      <w:lvlJc w:val="start"/>
      <w:pPr>
        <w:tabs>
          <w:tab w:val="num" w:pos="5040"/>
        </w:tabs>
        <w:ind w:start="50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360"/>
      </w:pPr>
      <w:rPr>
        <w:b w:val="false"/>
        <w:bCs w:val="false"/>
        <w:lang w:val="en-US" w:bidi="he-IL"/>
      </w:rPr>
    </w:lvl>
    <w:lvl w:ilvl="1">
      <w:start w:val="1"/>
      <w:numFmt w:val="hebrew1"/>
      <w:lvlText w:val="%2."/>
      <w:lvlJc w:val="center"/>
      <w:pPr>
        <w:tabs>
          <w:tab w:val="num" w:pos="1440"/>
        </w:tabs>
        <w:ind w:start="1440" w:hanging="360"/>
      </w:pPr>
      <w:rPr>
        <w:lang w:val="en-US" w:bidi="he-IL"/>
      </w:rPr>
    </w:lvl>
    <w:lvl w:ilvl="2">
      <w:start w:val="1"/>
      <w:numFmt w:val="decimal"/>
      <w:lvlText w:val="%1.%2.%3."/>
      <w:lvlJc w:val="start"/>
      <w:pPr>
        <w:tabs>
          <w:tab w:val="num" w:pos="1944"/>
        </w:tabs>
        <w:ind w:start="1944" w:hanging="504"/>
      </w:pPr>
    </w:lvl>
    <w:lvl w:ilvl="3">
      <w:start w:val="1"/>
      <w:numFmt w:val="decimal"/>
      <w:lvlText w:val="%1.%2.%3.%4."/>
      <w:lvlJc w:val="start"/>
      <w:pPr>
        <w:tabs>
          <w:tab w:val="num" w:pos="2448"/>
        </w:tabs>
        <w:ind w:start="2448" w:hanging="648"/>
      </w:pPr>
    </w:lvl>
    <w:lvl w:ilvl="4">
      <w:start w:val="1"/>
      <w:numFmt w:val="decimal"/>
      <w:lvlText w:val="%1.%2.%3.%4.%5."/>
      <w:lvlJc w:val="start"/>
      <w:pPr>
        <w:tabs>
          <w:tab w:val="num" w:pos="3240"/>
        </w:tabs>
        <w:ind w:start="2952" w:hanging="792"/>
      </w:pPr>
    </w:lvl>
    <w:lvl w:ilvl="5">
      <w:start w:val="1"/>
      <w:numFmt w:val="decimal"/>
      <w:lvlText w:val="%1.%2.%3.%4.%5.%6."/>
      <w:lvlJc w:val="start"/>
      <w:pPr>
        <w:tabs>
          <w:tab w:val="num" w:pos="3600"/>
        </w:tabs>
        <w:ind w:start="3456" w:hanging="936"/>
      </w:pPr>
    </w:lvl>
    <w:lvl w:ilvl="6">
      <w:start w:val="1"/>
      <w:numFmt w:val="decimal"/>
      <w:lvlText w:val="%1.%2.%3.%4.%5.%6.%7."/>
      <w:lvlJc w:val="start"/>
      <w:pPr>
        <w:tabs>
          <w:tab w:val="num" w:pos="4320"/>
        </w:tabs>
        <w:ind w:start="3960" w:hanging="1080"/>
      </w:pPr>
    </w:lvl>
    <w:lvl w:ilvl="7">
      <w:start w:val="1"/>
      <w:numFmt w:val="decimal"/>
      <w:lvlText w:val="%1.%2.%3.%4.%5.%6.%7.%8."/>
      <w:lvlJc w:val="start"/>
      <w:pPr>
        <w:tabs>
          <w:tab w:val="num" w:pos="4680"/>
        </w:tabs>
        <w:ind w:start="4464" w:hanging="1224"/>
      </w:pPr>
    </w:lvl>
    <w:lvl w:ilvl="8">
      <w:start w:val="1"/>
      <w:numFmt w:val="decimal"/>
      <w:lvlText w:val="%1.%2.%3.%4.%5.%6.%7.%8.%9."/>
      <w:lvlJc w:val="start"/>
      <w:pPr>
        <w:tabs>
          <w:tab w:val="num" w:pos="5040"/>
        </w:tabs>
        <w:ind w:start="5040" w:hanging="144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24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lang w:val="en-US" w:bidi="he-IL"/>
    </w:rPr>
  </w:style>
  <w:style w:type="character" w:styleId="WW8Num1z1">
    <w:name w:val="WW8Num1z1"/>
    <w:qFormat/>
    <w:rPr>
      <w:lang w:val="en-US" w:bidi="he-IL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ind w:hanging="0" w:start="720" w:end="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390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5227/10.a" TargetMode="External"/><Relationship Id="rId12" Type="http://schemas.openxmlformats.org/officeDocument/2006/relationships/hyperlink" Target="http://www.nevo.co.il/law/74501" TargetMode="External"/><Relationship Id="rId13" Type="http://schemas.openxmlformats.org/officeDocument/2006/relationships/hyperlink" Target="http://www.nevo.co.il/law/74501/2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90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340a" TargetMode="External"/><Relationship Id="rId21" Type="http://schemas.openxmlformats.org/officeDocument/2006/relationships/hyperlink" Target="http://www.nevo.co.il/law/70301/244" TargetMode="External"/><Relationship Id="rId22" Type="http://schemas.openxmlformats.org/officeDocument/2006/relationships/hyperlink" Target="http://www.nevo.co.il/law/5227/10.a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74501/2" TargetMode="External"/><Relationship Id="rId25" Type="http://schemas.openxmlformats.org/officeDocument/2006/relationships/hyperlink" Target="http://www.nevo.co.il/law/74501" TargetMode="External"/><Relationship Id="rId26" Type="http://schemas.openxmlformats.org/officeDocument/2006/relationships/hyperlink" Target="http://www.nevo.co.il/case/5958231" TargetMode="External"/><Relationship Id="rId27" Type="http://schemas.openxmlformats.org/officeDocument/2006/relationships/hyperlink" Target="http://www.nevo.co.il/case/5852404" TargetMode="External"/><Relationship Id="rId28" Type="http://schemas.openxmlformats.org/officeDocument/2006/relationships/hyperlink" Target="http://www.nevo.co.il/case/6000182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2022-09-11T11:23:00Z</dcterms:created>
  <dc:creator> </dc:creator>
  <dc:description/>
  <cp:keywords/>
  <dc:language>en-IL</dc:language>
  <cp:lastModifiedBy>h1</cp:lastModifiedBy>
  <dcterms:modified xsi:type="dcterms:W3CDTF">2022-09-11T11:23:00Z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ואיל בשרה;וליד עפיפי</vt:lpwstr>
  </property>
  <property fmtid="{D5CDD505-2E9C-101B-9397-08002B2CF9AE}" pid="4" name="CASESLISTTMP1">
    <vt:lpwstr>5958231;5852404;6000182</vt:lpwstr>
  </property>
  <property fmtid="{D5CDD505-2E9C-101B-9397-08002B2CF9AE}" pid="5" name="CITY">
    <vt:lpwstr>נצ'</vt:lpwstr>
  </property>
  <property fmtid="{D5CDD505-2E9C-101B-9397-08002B2CF9AE}" pid="6" name="DATE">
    <vt:lpwstr>20150902</vt:lpwstr>
  </property>
  <property fmtid="{D5CDD505-2E9C-101B-9397-08002B2CF9AE}" pid="7" name="ISABSTRACT">
    <vt:lpwstr>Y</vt:lpwstr>
  </property>
  <property fmtid="{D5CDD505-2E9C-101B-9397-08002B2CF9AE}" pid="8" name="JUDGE">
    <vt:lpwstr>תאופיק כתילי</vt:lpwstr>
  </property>
  <property fmtid="{D5CDD505-2E9C-101B-9397-08002B2CF9AE}" pid="9" name="LAWLISTTMP1">
    <vt:lpwstr>70301/499.a.1;390;029;144.b;144.a;340a;244</vt:lpwstr>
  </property>
  <property fmtid="{D5CDD505-2E9C-101B-9397-08002B2CF9AE}" pid="10" name="LAWLISTTMP2">
    <vt:lpwstr>5227/010.a</vt:lpwstr>
  </property>
  <property fmtid="{D5CDD505-2E9C-101B-9397-08002B2CF9AE}" pid="11" name="LAWLISTTMP3">
    <vt:lpwstr>74501/002</vt:lpwstr>
  </property>
  <property fmtid="{D5CDD505-2E9C-101B-9397-08002B2CF9AE}" pid="12" name="LAWYER">
    <vt:lpwstr>סוהאד אגא ;סרי חורי ;בני משה</vt:lpwstr>
  </property>
  <property fmtid="{D5CDD505-2E9C-101B-9397-08002B2CF9AE}" pid="13" name="NEWPARTA">
    <vt:lpwstr>20375</vt:lpwstr>
  </property>
  <property fmtid="{D5CDD505-2E9C-101B-9397-08002B2CF9AE}" pid="14" name="NEWPARTB">
    <vt:lpwstr>06</vt:lpwstr>
  </property>
  <property fmtid="{D5CDD505-2E9C-101B-9397-08002B2CF9AE}" pid="15" name="NEWPARTC">
    <vt:lpwstr>14</vt:lpwstr>
  </property>
  <property fmtid="{D5CDD505-2E9C-101B-9397-08002B2CF9AE}" pid="16" name="NEWPROC">
    <vt:lpwstr>תפ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390020150902</vt:lpwstr>
  </property>
  <property fmtid="{D5CDD505-2E9C-101B-9397-08002B2CF9AE}" pid="20" name="TYPE_N_DATE">
    <vt:lpwstr>39020150902</vt:lpwstr>
  </property>
  <property fmtid="{D5CDD505-2E9C-101B-9397-08002B2CF9AE}" pid="21" name="WORDNUMPAGES">
    <vt:lpwstr>8</vt:lpwstr>
  </property>
</Properties>
</file>