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20509-07-12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סיאם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20515-07-12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 שרית זמיר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נסים אבו סיאם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סאמר קרינאוי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4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איתי שמואלי 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חן כהן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b w:val="false"/>
          <w:bCs w:val="false"/>
          <w:u w:val="none"/>
          <w:rtl w:val="true"/>
        </w:rPr>
        <w:t xml:space="preserve">:    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כנען זיאד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אין התייצבות לנאשם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ולב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LastJudge"/>
      <w:bookmarkStart w:id="6" w:name="PsakDin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bookmarkStart w:id="7" w:name="PsakDin"/>
      <w:bookmarkEnd w:id="7"/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בעניינו של נאשם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 שבפניי הורשע על סמך הודייתו</w:t>
      </w:r>
      <w:r>
        <w:rPr>
          <w:rtl w:val="true"/>
        </w:rPr>
        <w:t xml:space="preserve">, </w:t>
      </w:r>
      <w:r>
        <w:rPr>
          <w:rtl w:val="true"/>
        </w:rPr>
        <w:t>במסגרת הסדר טיעון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בעבירות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>התפרצות לרכב בכוונה לבצע פשע</w:t>
      </w:r>
      <w:r>
        <w:rPr>
          <w:rtl w:val="true"/>
        </w:rPr>
        <w:t xml:space="preserve">, </w:t>
      </w:r>
      <w:r>
        <w:rPr>
          <w:rtl w:val="true"/>
        </w:rPr>
        <w:t>שימוש ברכב ללא רשות ונהיגה בפזיזות ורשלנות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ההסדר שגובש בין הצדדים</w:t>
      </w:r>
      <w:r>
        <w:rPr>
          <w:rtl w:val="true"/>
        </w:rPr>
        <w:t xml:space="preserve">, </w:t>
      </w:r>
      <w:r>
        <w:rPr>
          <w:rtl w:val="true"/>
        </w:rPr>
        <w:t>עתרו הצדדים במשותף לקבלת תסקיר בעניינו של הנאשם והודיעו כי ככל שהתסקיר בעניינו יהיה חיובי</w:t>
      </w:r>
      <w:r>
        <w:rPr>
          <w:rtl w:val="true"/>
        </w:rPr>
        <w:t xml:space="preserve">, </w:t>
      </w:r>
      <w:r>
        <w:rPr>
          <w:rtl w:val="true"/>
        </w:rPr>
        <w:t xml:space="preserve">יעתרו במשותף להשתת עונש מאסר בפועל בן חודשיים שיכול וירוצה בעבודות שירות ולצדו קנס כספי בסך </w:t>
      </w:r>
      <w:r>
        <w:rPr/>
        <w:t>10000</w:t>
      </w:r>
      <w:r>
        <w:rPr>
          <w:rtl w:val="true"/>
        </w:rPr>
        <w:t xml:space="preserve"> ₪,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התחייבות להימנע מעבירה ופסילה בפועל ועל תנאי של רישיון הנהיגה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להסכמה שגובשה בין הצדדים נשלח עניינו של הנאשם לקבלת תסקיר משירות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מתסקיר ארוך ומפורט שהתקבל לתיק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עולה כי הנאשם כבן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, </w:t>
      </w:r>
      <w:r>
        <w:rPr>
          <w:rtl w:val="true"/>
        </w:rPr>
        <w:t xml:space="preserve">סיים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"</w:t>
      </w:r>
      <w:r>
        <w:rPr>
          <w:rtl w:val="true"/>
        </w:rPr>
        <w:t>ל ועתיד להתגייס לגדוד הסיירים הבדואי ולשרת בתפקיד לוחם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התסקיר סוקר בהרחבה את הרקע האישי והמשפחתי של הנאשם ומציין כי בשל מצבו הבריאותי הקשה של אביו של הנאשם</w:t>
      </w:r>
      <w:r>
        <w:rPr>
          <w:rtl w:val="true"/>
        </w:rPr>
        <w:t xml:space="preserve">, </w:t>
      </w:r>
      <w:r>
        <w:rPr>
          <w:rtl w:val="true"/>
        </w:rPr>
        <w:t>נאלץ הנאשם לעזוב את לימודיו בביה</w:t>
      </w:r>
      <w:r>
        <w:rPr>
          <w:rtl w:val="true"/>
        </w:rPr>
        <w:t>"</w:t>
      </w:r>
      <w:r>
        <w:rPr>
          <w:rtl w:val="true"/>
        </w:rPr>
        <w:t>ס והחל לעבוד כדי לסייע בפרנסת 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הרקע הזה ובהעדר גבולות ברורים התחבר עם חברה שולית בעיר מגוריו</w:t>
      </w:r>
      <w:r>
        <w:rPr>
          <w:rtl w:val="true"/>
        </w:rPr>
        <w:t xml:space="preserve">, </w:t>
      </w:r>
      <w:r>
        <w:rPr>
          <w:rtl w:val="true"/>
        </w:rPr>
        <w:t>חברת אנשים מבוגרים ממנו שעסקו בין היתר בגניבת רכבים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לעבירה נשוא כתב האישום</w:t>
      </w:r>
      <w:r>
        <w:rPr>
          <w:rtl w:val="true"/>
        </w:rPr>
        <w:t xml:space="preserve">, </w:t>
      </w:r>
      <w:r>
        <w:rPr>
          <w:rtl w:val="true"/>
        </w:rPr>
        <w:t>בשירות המבחן הודה הנאשם כי ביצע את אשר מיוחס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הנאשם מתקשה לקחת אחריות מלאה על מעשיו והתנהגותו העבריינית ולראות את חלקו בביצוע העבירות</w:t>
      </w:r>
      <w:r>
        <w:rPr>
          <w:rtl w:val="true"/>
        </w:rPr>
        <w:t xml:space="preserve">, </w:t>
      </w:r>
      <w:r>
        <w:rPr>
          <w:rtl w:val="true"/>
        </w:rPr>
        <w:t>תוך בחינת התנהגותו בשעת 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 שירות המבחן לגבש הערכת סיכון וסיכוי בעניינו של הנאשם</w:t>
      </w:r>
      <w:r>
        <w:rPr>
          <w:rtl w:val="true"/>
        </w:rPr>
        <w:t xml:space="preserve">, </w:t>
      </w:r>
      <w:r>
        <w:rPr>
          <w:rtl w:val="true"/>
        </w:rPr>
        <w:t>מציין מחד את נטייתו של הנאשם להיגרר אחר חברה שולית ולהיות מושפע מהסביבה</w:t>
      </w:r>
      <w:r>
        <w:rPr>
          <w:rtl w:val="true"/>
        </w:rPr>
        <w:t xml:space="preserve">, </w:t>
      </w:r>
      <w:r>
        <w:rPr>
          <w:rtl w:val="true"/>
        </w:rPr>
        <w:t>ואת סירובו בשלב זה להשתלב בטיפול</w:t>
      </w:r>
      <w:r>
        <w:rPr>
          <w:rtl w:val="true"/>
        </w:rPr>
        <w:t xml:space="preserve">, </w:t>
      </w:r>
      <w:r>
        <w:rPr>
          <w:rtl w:val="true"/>
        </w:rPr>
        <w:t>בפרט נוכח הקושי לבחון את התנהגותו העבריינית ולקחת עליה אחריות מלאה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מציין שירות המבחן כי הנאשם מודע בעת הזו למחירים שמשלם בעקבות הסתבכותו בפלילים</w:t>
      </w:r>
      <w:r>
        <w:rPr>
          <w:rtl w:val="true"/>
        </w:rPr>
        <w:t xml:space="preserve">, </w:t>
      </w:r>
      <w:r>
        <w:rPr>
          <w:rtl w:val="true"/>
        </w:rPr>
        <w:t>מחויב למשפחתו ולילדיו</w:t>
      </w:r>
      <w:r>
        <w:rPr>
          <w:rtl w:val="true"/>
        </w:rPr>
        <w:t xml:space="preserve">, </w:t>
      </w:r>
      <w:r>
        <w:rPr>
          <w:rtl w:val="true"/>
        </w:rPr>
        <w:t>התנתק מהחברה השולית עמה התרועע בעבר ועושה צעדים אקטיביים כדי לקדם שינוי בחייו</w:t>
      </w:r>
      <w:r>
        <w:rPr>
          <w:rtl w:val="true"/>
        </w:rPr>
        <w:t xml:space="preserve">, </w:t>
      </w:r>
      <w:r>
        <w:rPr>
          <w:rtl w:val="true"/>
        </w:rPr>
        <w:t>לרבות התמדה בעבודה וגיוס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במכלול השיקולים הללו ובשים לב לגילו הצעיר של הנאשם בעת 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 שירות מבחן בהמלצה להטיל על הנאשם עונש מוחשי של מאסר שירוצה בעבודות 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מנת לחדד עבורו את המחירים להתנהלותו הבעייתית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 לב לממצאי התסקיר עתרו הצדדים במשותף לאמץ את ההסדר הענישתי המוצע על ידם בבית המשפט</w:t>
      </w:r>
      <w:r>
        <w:rPr>
          <w:rtl w:val="true"/>
        </w:rPr>
        <w:t xml:space="preserve">, </w:t>
      </w:r>
      <w:r>
        <w:rPr>
          <w:rtl w:val="true"/>
        </w:rPr>
        <w:t>תוך שהפנו לממצאי התסקיר ולהמלצתו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הוסיף כי לחובת הנאשם הרשעה אחת משנת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בגין עבירה של סיוע לגניבת רכב וכי לא רשומים לחובת הנאשם תיקים פתוחים 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מיקד את הזרקור באופן טבעי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והוסיף כי אך לפני כחודש וחצי נולד לו ילד 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 אין מדובר במי שבחר בדרך הפשע והעבריינות</w:t>
      </w:r>
      <w:r>
        <w:rPr>
          <w:rtl w:val="true"/>
        </w:rPr>
        <w:t xml:space="preserve">, </w:t>
      </w:r>
      <w:r>
        <w:rPr>
          <w:rtl w:val="true"/>
        </w:rPr>
        <w:t>אלא במי שלמרבה הצער ונוכח נסיבות חיים מורכבות לא כוון לדרך הנכונה ומעד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להתחשב במצבו הכלכלי הקשה של הנאשם</w:t>
      </w:r>
      <w:r>
        <w:rPr>
          <w:rtl w:val="true"/>
        </w:rPr>
        <w:t xml:space="preserve">, </w:t>
      </w:r>
      <w:r>
        <w:rPr>
          <w:rtl w:val="true"/>
        </w:rPr>
        <w:t>באופן שתקופת הפסילה שתוטל עליו תהא מתונה</w:t>
      </w:r>
      <w:r>
        <w:rPr>
          <w:rtl w:val="true"/>
        </w:rPr>
        <w:t xml:space="preserve">, </w:t>
      </w:r>
      <w:r>
        <w:rPr>
          <w:rtl w:val="true"/>
        </w:rPr>
        <w:t>שכן רישיון הנהיגה של הנאשם דרוש לנאשם בעבודתו כמפרנס יחיד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בדברו האחרון הביע צער וחרטה על מעשיו והוסיף כי לא יחזור על כך בשנית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ששקלתי את כל הנסיבות הצריכות לעניין ובהם גילו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נסיבות 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עברו הפלילי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חלוף הזמן מאז 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הודאתו של הנאשם וחסכון בזמן שיפוטי 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האמור בתסקיר שרות המבחן והאינטרס 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מוצאת אני לנכון לכבד את הסדר 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שהנו ראוי וסביר בנסיבות העניין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וגוזרת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מאסר בפועל למשך חודשיים</w:t>
      </w:r>
      <w:r>
        <w:rPr>
          <w:rtl w:val="true"/>
        </w:rPr>
        <w:t xml:space="preserve">. </w:t>
      </w:r>
      <w:r>
        <w:rPr>
          <w:rtl w:val="true"/>
        </w:rPr>
        <w:t>בהתאם לחוות דעת הממונה המאסר ירוצה בעבודות שירות</w:t>
      </w:r>
      <w:r>
        <w:rPr>
          <w:rtl w:val="true"/>
        </w:rPr>
        <w:t xml:space="preserve">. </w:t>
      </w:r>
      <w:r>
        <w:rPr>
          <w:rtl w:val="true"/>
        </w:rPr>
        <w:t>הנאשם ירצה את עבודות השירות בעיריית אופקים</w:t>
      </w:r>
      <w:r>
        <w:rPr>
          <w:rtl w:val="true"/>
        </w:rPr>
        <w:t xml:space="preserve">, </w:t>
      </w:r>
      <w:r>
        <w:rPr>
          <w:rtl w:val="true"/>
        </w:rPr>
        <w:t xml:space="preserve">משך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 שעות עבודה יומיות</w:t>
      </w:r>
      <w:r>
        <w:rPr>
          <w:rtl w:val="true"/>
        </w:rPr>
        <w:t xml:space="preserve">. </w:t>
      </w:r>
      <w:r>
        <w:rPr>
          <w:rtl w:val="true"/>
        </w:rPr>
        <w:t xml:space="preserve">תחילת ריצוי עבודות השירות ביום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11/7/2016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double"/>
        </w:rPr>
      </w:pPr>
      <w:r>
        <w:rPr>
          <w:rtl w:val="true"/>
        </w:rPr>
        <w:tab/>
      </w:r>
      <w:r>
        <w:rPr>
          <w:b/>
          <w:b/>
          <w:bCs/>
          <w:u w:val="double"/>
          <w:rtl w:val="true"/>
        </w:rPr>
        <w:t xml:space="preserve">על הנאשם להתייצב לצורך קליטה והצבה ביום </w:t>
      </w:r>
      <w:r>
        <w:rPr>
          <w:b/>
          <w:bCs/>
          <w:u w:val="double"/>
        </w:rPr>
        <w:t>11/7/16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 xml:space="preserve">בשעה </w:t>
      </w:r>
      <w:r>
        <w:rPr>
          <w:b/>
          <w:bCs/>
          <w:u w:val="double"/>
        </w:rPr>
        <w:t>08:00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>ביחידת עבודות השירות</w:t>
      </w:r>
      <w:r>
        <w:rPr>
          <w:b/>
          <w:bCs/>
          <w:u w:val="double"/>
          <w:rtl w:val="true"/>
        </w:rPr>
        <w:t xml:space="preserve">, </w:t>
      </w:r>
      <w:r>
        <w:rPr>
          <w:b/>
          <w:b/>
          <w:bCs/>
          <w:u w:val="double"/>
          <w:rtl w:val="true"/>
        </w:rPr>
        <w:t>מפקדת מחוז דרום באר שבע</w:t>
      </w:r>
      <w:r>
        <w:rPr>
          <w:b/>
          <w:bCs/>
          <w:u w:val="doub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doub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double"/>
          <w:rtl w:val="true"/>
        </w:rPr>
        <w:t>מובהרת לנאשם משמעות ריצוי עונש מאסר בדרך של עבודות שירות ומובהר לו כי עליו לעמוד בדרישות ובתנאים של מסגרת זו</w:t>
      </w:r>
      <w:r>
        <w:rPr>
          <w:b/>
          <w:bCs/>
          <w:u w:val="double"/>
          <w:rtl w:val="true"/>
        </w:rPr>
        <w:t xml:space="preserve">, </w:t>
      </w:r>
      <w:r>
        <w:rPr>
          <w:b/>
          <w:b/>
          <w:bCs/>
          <w:u w:val="double"/>
          <w:rtl w:val="true"/>
        </w:rPr>
        <w:t>וכי כל הפרה של התנאים או אי עמידה בהנחיות הממונה יובילו לנקיטת צעדים כלפיו ולהפסקה מנהלית של עבודות השירות</w:t>
      </w:r>
      <w:r>
        <w:rPr>
          <w:b/>
          <w:bCs/>
          <w:u w:val="doub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והנאשם לא יישא בעונש זה אלא אם כן יעבור בתוך שלוש שנים מהיום עבירת רכוש מסוג פשע ו</w:t>
      </w:r>
      <w:r>
        <w:rPr>
          <w:rtl w:val="true"/>
        </w:rPr>
        <w:t>/</w:t>
      </w:r>
      <w:r>
        <w:rPr>
          <w:rtl w:val="true"/>
        </w:rPr>
        <w:t>או עבירה של קשירת קשר לביצוע 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והנאשם לא ישא בעונש זה אלא אם כן יעבור בתוך שלוש שנים מהיום עבירת רכוש מסוג עוון ו</w:t>
      </w:r>
      <w:r>
        <w:rPr>
          <w:rtl w:val="true"/>
        </w:rPr>
        <w:t>/</w:t>
      </w:r>
      <w:r>
        <w:rPr>
          <w:rtl w:val="true"/>
        </w:rPr>
        <w:t>או עבירה של נהיגה בפזיזות ורשלנות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קנס כספי בסך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או חודשיים מאסר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סך </w:t>
      </w:r>
      <w:r>
        <w:rPr/>
        <w:t>3000</w:t>
      </w:r>
      <w:r>
        <w:rPr>
          <w:rtl w:val="true"/>
        </w:rPr>
        <w:t xml:space="preserve"> ₪ </w:t>
      </w:r>
      <w:r>
        <w:rPr>
          <w:rtl w:val="true"/>
        </w:rPr>
        <w:t>שהופקדו ע</w:t>
      </w:r>
      <w:r>
        <w:rPr>
          <w:rtl w:val="true"/>
        </w:rPr>
        <w:t>"</w:t>
      </w:r>
      <w:r>
        <w:rPr>
          <w:rtl w:val="true"/>
        </w:rPr>
        <w:t xml:space="preserve">י הנאשם בתיק </w:t>
      </w:r>
      <w:hyperlink r:id="rId2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י </w:t>
        </w:r>
        <w:r>
          <w:rPr>
            <w:rStyle w:val="Hyperlink"/>
            <w:color w:val="0000FF"/>
            <w:u w:val="single"/>
          </w:rPr>
          <w:t>12744-07-12</w:t>
        </w:r>
      </w:hyperlink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 שלום פתח תקווה</w:t>
      </w:r>
      <w:r>
        <w:rPr>
          <w:rtl w:val="true"/>
        </w:rPr>
        <w:t xml:space="preserve">, </w:t>
      </w:r>
      <w:r>
        <w:rPr>
          <w:rtl w:val="true"/>
        </w:rPr>
        <w:t>יקוזזו לטובת תשלום הקנס</w:t>
      </w:r>
      <w:r>
        <w:rPr>
          <w:rtl w:val="true"/>
        </w:rPr>
        <w:t xml:space="preserve">, </w:t>
      </w:r>
      <w:r>
        <w:rPr>
          <w:rtl w:val="true"/>
        </w:rPr>
        <w:t xml:space="preserve">והיתרה בסך </w:t>
      </w:r>
      <w:r>
        <w:rPr/>
        <w:t>7000</w:t>
      </w:r>
      <w:r>
        <w:rPr>
          <w:rtl w:val="true"/>
        </w:rPr>
        <w:t xml:space="preserve"> ₪ </w:t>
      </w:r>
      <w:r>
        <w:rPr>
          <w:rtl w:val="true"/>
        </w:rPr>
        <w:t>תשולם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 חודשיים רצופים ושווים</w:t>
      </w:r>
      <w:r>
        <w:rPr>
          <w:rtl w:val="true"/>
        </w:rPr>
        <w:t xml:space="preserve">, </w:t>
      </w:r>
      <w:r>
        <w:rPr>
          <w:rtl w:val="true"/>
        </w:rPr>
        <w:t xml:space="preserve">הראשון מבינהם עד לא יאוחר מיום </w:t>
      </w:r>
      <w:r>
        <w:rPr/>
        <w:t>1/6/16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באם תשלום אחד מן התשלומים לא יפרע במועדו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יעמוד כל הקנס לפירעון מיידי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 xml:space="preserve">הנאשם יחתום על התחייבות בסך של </w:t>
      </w:r>
      <w:r>
        <w:rPr/>
        <w:t>10000</w:t>
      </w:r>
      <w:r>
        <w:rPr>
          <w:rtl w:val="true"/>
        </w:rPr>
        <w:t xml:space="preserve"> ₪ </w:t>
      </w:r>
      <w:r>
        <w:rPr>
          <w:rtl w:val="true"/>
        </w:rPr>
        <w:t xml:space="preserve">שלא יעבור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עבירת רכוש כלשהי</w:t>
      </w:r>
      <w:r>
        <w:rPr>
          <w:rtl w:val="true"/>
        </w:rPr>
        <w:t xml:space="preserve">. </w:t>
      </w:r>
      <w:r>
        <w:rPr>
          <w:rtl w:val="true"/>
        </w:rPr>
        <w:t>לא תחתם ההתחייבות ייאסר למשך  חודשיים ימים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 xml:space="preserve">פסילת הנאשם מלקבל ומלהחזיק רישיון נהיגה למשך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ימים בפועל</w:t>
      </w:r>
      <w:r>
        <w:rPr>
          <w:rtl w:val="true"/>
        </w:rPr>
        <w:t xml:space="preserve">. </w:t>
      </w:r>
      <w:r>
        <w:rPr>
          <w:rtl w:val="true"/>
        </w:rPr>
        <w:t xml:space="preserve">הנאשם יפקיד את רישיונו במזכירות בית המשפט עד ליום </w:t>
      </w:r>
      <w:r>
        <w:rPr/>
        <w:t>1/8/16</w:t>
      </w:r>
      <w:r>
        <w:rPr>
          <w:rtl w:val="true"/>
        </w:rPr>
        <w:t xml:space="preserve">, </w:t>
      </w:r>
      <w:r>
        <w:rPr>
          <w:rtl w:val="true"/>
        </w:rPr>
        <w:t>ובמועד זה תחל הפסילה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 xml:space="preserve">אני פוסלת הנאשם מלקבל ומלהחזיק רישיון נהיגה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והנאשם לא יישא בעונש זה אלא אם יעבור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על העבירות בהן הורשע</w:t>
      </w:r>
      <w:r>
        <w:rPr>
          <w:rtl w:val="true"/>
        </w:rPr>
        <w:t>.</w:t>
      </w:r>
    </w:p>
    <w:p>
      <w:pPr>
        <w:pStyle w:val="BodyTextIndent"/>
        <w:ind w:hanging="765" w:start="71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double"/>
        </w:rPr>
      </w:pPr>
      <w:r>
        <w:rPr>
          <w:b/>
          <w:b/>
          <w:bCs/>
          <w:u w:val="double"/>
          <w:rtl w:val="true"/>
        </w:rPr>
        <w:t>המזכירות תשלח העתק גזר הדין לשירות המבחן ולממונה על עבודות השירות</w:t>
      </w:r>
      <w:r>
        <w:rPr>
          <w:b/>
          <w:bCs/>
          <w:u w:val="doub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double"/>
        </w:rPr>
      </w:pPr>
      <w:r>
        <w:rPr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אייר 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/>
        <w:t>09/05/2016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שרית זמיר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בעניינו של נאשם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הדיון להיום נקבע לצורך קבלת חוות דעת ממונה בעניינו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וטיעונים 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מהודעה שהתקבלה על ידי הממונה על עבודות השרות לתיק בית המשפט</w:t>
      </w:r>
      <w:r>
        <w:rPr>
          <w:rtl w:val="true"/>
        </w:rPr>
        <w:t xml:space="preserve">, </w:t>
      </w:r>
      <w:r>
        <w:rPr>
          <w:rtl w:val="true"/>
        </w:rPr>
        <w:t>עולה כי הנאשם זומן באמצעות משרד בא כוחו לראיון התאמה</w:t>
      </w:r>
      <w:r>
        <w:rPr>
          <w:rtl w:val="true"/>
        </w:rPr>
        <w:t xml:space="preserve">, </w:t>
      </w:r>
      <w:r>
        <w:rPr>
          <w:rtl w:val="true"/>
        </w:rPr>
        <w:t>אך לא התייצב ולא הודיע על אי הגעתו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בנסיבות הללו מציין הממונה כי במידה ובית המשפט יחליט להפנות את הנאשם בשנית לממונה</w:t>
      </w:r>
      <w:r>
        <w:rPr>
          <w:rtl w:val="true"/>
        </w:rPr>
        <w:t xml:space="preserve">, </w:t>
      </w:r>
      <w:r>
        <w:rPr>
          <w:rtl w:val="true"/>
        </w:rPr>
        <w:t xml:space="preserve">הרי שזה יוכל להתייצב לראיון בתאריך </w:t>
      </w:r>
      <w:r>
        <w:rPr/>
        <w:t>26/6/2016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09:15</w:t>
      </w:r>
      <w:r>
        <w:rPr>
          <w:rtl w:val="true"/>
        </w:rPr>
        <w:t xml:space="preserve"> </w:t>
      </w:r>
      <w:r>
        <w:rPr>
          <w:rtl w:val="true"/>
        </w:rPr>
        <w:t>בבוקר עם סיכום מידע רפואי עדכני ותעודת זהות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לדיון לא התייצבו הנאשם ובא כוחו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בבוקר הדיון התקבלה הודעת ב</w:t>
      </w:r>
      <w:r>
        <w:rPr>
          <w:rtl w:val="true"/>
        </w:rPr>
        <w:t>"</w:t>
      </w:r>
      <w:r>
        <w:rPr>
          <w:rtl w:val="true"/>
        </w:rPr>
        <w:t>כ הנאשם לתיק בית המשפט</w:t>
      </w:r>
      <w:r>
        <w:rPr>
          <w:rtl w:val="true"/>
        </w:rPr>
        <w:t xml:space="preserve">, </w:t>
      </w:r>
      <w:r>
        <w:rPr>
          <w:rtl w:val="true"/>
        </w:rPr>
        <w:t>במסגרתה מציין הסניגור כי חרף האמור בהודעת הממונה לא התקבל זימון במשרדו ובנסיבות הללו הוא עותר לדחיית הדיון לצורך הפניית הנאשם בשנית לממונה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אקדים ואומר כי לא ראוי בעיניי כי ב</w:t>
      </w:r>
      <w:r>
        <w:rPr>
          <w:rtl w:val="true"/>
        </w:rPr>
        <w:t>"</w:t>
      </w:r>
      <w:r>
        <w:rPr>
          <w:rtl w:val="true"/>
        </w:rPr>
        <w:t>כ הנאשם הסתפק בשליחת הודעה בבחינת הצבת עובדה מוגמרת בפני בית המשפט ופטר את עצמו ואת הנאשם מהתייצבות</w:t>
      </w:r>
      <w:r>
        <w:rPr>
          <w:rtl w:val="true"/>
        </w:rPr>
        <w:t xml:space="preserve">, </w:t>
      </w:r>
      <w:r>
        <w:rPr>
          <w:rtl w:val="true"/>
        </w:rPr>
        <w:t>וזאת טרם שהתקבלה החלטה בעניין זה מאת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בעת הזו אין מנוס מדחיית הדיון בעניינו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להודעת הממונה</w:t>
      </w:r>
      <w:r>
        <w:rPr>
          <w:rtl w:val="true"/>
        </w:rPr>
        <w:t xml:space="preserve">, </w:t>
      </w:r>
      <w:r>
        <w:rPr>
          <w:rtl w:val="true"/>
        </w:rPr>
        <w:t xml:space="preserve">אני מורה לנאשם כי עליו להתייצב לראיון התאמה במשרדי הממונה ביום </w:t>
      </w:r>
      <w:r>
        <w:rPr/>
        <w:t>26/6/16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09:15</w:t>
      </w:r>
      <w:r>
        <w:rPr>
          <w:rtl w:val="true"/>
        </w:rPr>
        <w:t xml:space="preserve">, </w:t>
      </w:r>
      <w:r>
        <w:rPr>
          <w:rtl w:val="true"/>
        </w:rPr>
        <w:t>כשהוא מצויד בסיכום מידע רפואי ותעודת זהות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על הנאשם או בא כוחו ליצור קשר עם הממונה בטלפון שמספרו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086290631/661/651/665</w:t>
      </w:r>
      <w:r>
        <w:rPr>
          <w:rtl w:val="true"/>
        </w:rPr>
        <w:t xml:space="preserve"> </w:t>
      </w:r>
      <w:r>
        <w:rPr>
          <w:rtl w:val="true"/>
        </w:rPr>
        <w:t>ולאשר הגעת הנאשם לראיון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rtl w:val="true"/>
        </w:rPr>
        <w:t xml:space="preserve">המשך הדיון בעניינו של הנאשם יידחה איפוא לקבלת חוות דעת ממונה וטיעונים לעונש </w:t>
      </w:r>
      <w:r>
        <w:rPr>
          <w:b/>
          <w:b/>
          <w:bCs/>
          <w:u w:val="double"/>
          <w:rtl w:val="true"/>
        </w:rPr>
        <w:t xml:space="preserve">ליום </w:t>
      </w:r>
      <w:r>
        <w:rPr>
          <w:b/>
          <w:bCs/>
          <w:u w:val="double"/>
        </w:rPr>
        <w:t>4/7/2016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 xml:space="preserve">שעה </w:t>
      </w:r>
      <w:r>
        <w:rPr>
          <w:b/>
          <w:bCs/>
          <w:u w:val="double"/>
        </w:rPr>
        <w:t>08:30</w:t>
      </w:r>
      <w:r>
        <w:rPr>
          <w:b/>
          <w:bCs/>
          <w:u w:val="doub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Cs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רשמתי בפניי את הודעת המאשימה כי שומרת לעצמה על הזכות לעתור להוצאת צו הבאה כנגד הנאשם</w:t>
      </w:r>
      <w:r>
        <w:rPr>
          <w:rtl w:val="true"/>
        </w:rPr>
        <w:t xml:space="preserve">, </w:t>
      </w:r>
      <w:r>
        <w:rPr>
          <w:rtl w:val="true"/>
        </w:rPr>
        <w:t>במידה ולא יתייצב לדיון הנדחה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/>
          <w:bCs/>
          <w:u w:val="double"/>
          <w:rtl w:val="true"/>
        </w:rPr>
        <w:t>המזכירות תשלח העתק הפרוטוקול לעוה</w:t>
      </w:r>
      <w:r>
        <w:rPr>
          <w:b/>
          <w:bCs/>
          <w:u w:val="double"/>
          <w:rtl w:val="true"/>
        </w:rPr>
        <w:t>"</w:t>
      </w:r>
      <w:r>
        <w:rPr>
          <w:b/>
          <w:b/>
          <w:bCs/>
          <w:u w:val="double"/>
          <w:rtl w:val="true"/>
        </w:rPr>
        <w:t>ד מוטי יוסף ולממונה על עבודות השירות</w:t>
      </w:r>
      <w:r>
        <w:rPr>
          <w:b/>
          <w:bCs/>
          <w:u w:val="doub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09/05/2016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שרית זמיר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חדווה</w:t>
      </w:r>
      <w:r>
        <w:rPr>
          <w:rtl w:val="true"/>
        </w:rPr>
        <w:t xml:space="preserve"> </w:t>
      </w:r>
      <w:r>
        <w:rPr>
          <w:rtl w:val="true"/>
        </w:rPr>
        <w:t>ינר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שרית זמיר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20509-07-12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נסים אבו סיאם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">
    <w:name w:val=" Char Char"/>
    <w:qFormat/>
    <w:rPr>
      <w:rFonts w:cs="David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>
      <w:rFonts w:ascii="Times New Roman" w:hAnsi="Times New Roman" w:eastAsia="Times New Roman" w:cs="Times New Roman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836022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2016-12-04T10:21:00Z</dcterms:created>
  <dc:creator> </dc:creator>
  <dc:description/>
  <cp:keywords/>
  <dc:language>en-IL</dc:language>
  <cp:lastModifiedBy>run</cp:lastModifiedBy>
  <dcterms:modified xsi:type="dcterms:W3CDTF">2016-12-04T10:21:00Z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נסים אבו סיאם;סאמר קרינאוי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3836022</vt:lpwstr>
  </property>
  <property fmtid="{D5CDD505-2E9C-101B-9397-08002B2CF9AE}" pid="9" name="CITY">
    <vt:lpwstr>ראשל"צ</vt:lpwstr>
  </property>
  <property fmtid="{D5CDD505-2E9C-101B-9397-08002B2CF9AE}" pid="10" name="DATE">
    <vt:lpwstr>20160509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שרית זמיר</vt:lpwstr>
  </property>
  <property fmtid="{D5CDD505-2E9C-101B-9397-08002B2CF9AE}" pid="14" name="LAWYER">
    <vt:lpwstr>איתי שמואלי; חן כהן;כנען זיאד;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20509</vt:lpwstr>
  </property>
  <property fmtid="{D5CDD505-2E9C-101B-9397-08002B2CF9AE}" pid="21" name="NEWPARTB">
    <vt:lpwstr>07</vt:lpwstr>
  </property>
  <property fmtid="{D5CDD505-2E9C-101B-9397-08002B2CF9AE}" pid="22" name="NEWPARTC">
    <vt:lpwstr>12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380020160509</vt:lpwstr>
  </property>
  <property fmtid="{D5CDD505-2E9C-101B-9397-08002B2CF9AE}" pid="33" name="TYPE_N_DATE">
    <vt:lpwstr>38020160509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