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20573-06-10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אורן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פברואר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צבי גורפינקל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 ריכטנברג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אוסקר אורן –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הובא 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 הליווי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 רהט ניר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ביום </w:t>
      </w:r>
      <w:r>
        <w:rPr/>
        <w:t>1.8.09</w:t>
      </w:r>
      <w:r>
        <w:rPr>
          <w:rtl w:val="true"/>
        </w:rPr>
        <w:t xml:space="preserve"> </w:t>
      </w:r>
      <w:r>
        <w:rPr>
          <w:rtl w:val="true"/>
        </w:rPr>
        <w:t xml:space="preserve">שעה </w:t>
      </w:r>
      <w:r>
        <w:rPr/>
        <w:t>03.00</w:t>
      </w:r>
      <w:r>
        <w:rPr>
          <w:rtl w:val="true"/>
        </w:rPr>
        <w:t xml:space="preserve">, </w:t>
      </w:r>
      <w:r>
        <w:rPr>
          <w:rtl w:val="true"/>
        </w:rPr>
        <w:t>השליך הנאשם רימון הלם לעבר מועדון במתחם יד חלוצים בת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והורשע על פי הודאתו בעבירה של נשיאת נשק שלא כדין לפי סע</w:t>
      </w:r>
      <w:r>
        <w:rPr>
          <w:rtl w:val="true"/>
        </w:rPr>
        <w:t xml:space="preserve">'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רישא 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הדיון בתיק התעכב תחילה כדי לבדוק דגימות </w:t>
      </w:r>
      <w:r>
        <w:rPr/>
        <w:t>D.N.A</w:t>
      </w:r>
      <w:r>
        <w:rPr>
          <w:rtl w:val="true"/>
        </w:rPr>
        <w:t xml:space="preserve"> </w:t>
      </w:r>
      <w:r>
        <w:rPr>
          <w:rtl w:val="true"/>
        </w:rPr>
        <w:t>שנמצאו במקום ולאחר מכן נדחה כדי להמתין למתן גז</w:t>
      </w:r>
      <w:r>
        <w:rPr>
          <w:rtl w:val="true"/>
        </w:rPr>
        <w:t>"</w:t>
      </w:r>
      <w:r>
        <w:rPr>
          <w:rtl w:val="true"/>
        </w:rPr>
        <w:t>ד בתיק אחר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בתאריך </w:t>
      </w:r>
      <w:r>
        <w:rPr/>
        <w:t>16.2.11</w:t>
      </w:r>
      <w:r>
        <w:rPr>
          <w:rtl w:val="true"/>
        </w:rPr>
        <w:t xml:space="preserve">, </w:t>
      </w:r>
      <w:r>
        <w:rPr>
          <w:rtl w:val="true"/>
        </w:rPr>
        <w:t>נגזר על הנאשם עונש של מאסר עולם בגין עבירת רצח</w:t>
      </w:r>
      <w:r>
        <w:rPr>
          <w:rtl w:val="true"/>
        </w:rPr>
        <w:t xml:space="preserve">, </w:t>
      </w:r>
      <w:r>
        <w:rPr>
          <w:rtl w:val="true"/>
        </w:rPr>
        <w:t>ובשל כך הסכימו הצדדים במסגרת הסדר טיעון כי העונש שיוטל על הנאשם יהיה שנת מאסר</w:t>
      </w:r>
      <w:r>
        <w:rPr>
          <w:rtl w:val="true"/>
        </w:rPr>
        <w:t xml:space="preserve">, </w:t>
      </w:r>
      <w:r>
        <w:rPr>
          <w:rtl w:val="true"/>
        </w:rPr>
        <w:t>שחציה מצטברת למאסר שהוא נושא עתה וחצייה בחופף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העבירה של שימוש בנשק פוגעת קשות בשלום הציבור</w:t>
      </w:r>
      <w:r>
        <w:rPr>
          <w:rtl w:val="true"/>
        </w:rPr>
        <w:t xml:space="preserve">, </w:t>
      </w:r>
      <w:r>
        <w:rPr>
          <w:rtl w:val="true"/>
        </w:rPr>
        <w:t>אולם כאן מ דובר ברימון הלם ולא ברימון רסס</w:t>
      </w:r>
      <w:r>
        <w:rPr>
          <w:rtl w:val="true"/>
        </w:rPr>
        <w:t xml:space="preserve">, </w:t>
      </w:r>
      <w:r>
        <w:rPr>
          <w:rtl w:val="true"/>
        </w:rPr>
        <w:t>ויש בכך כדי להמעיט מחומרת הפגיעה שהיתה צפויה</w:t>
      </w:r>
      <w:r>
        <w:rPr>
          <w:rtl w:val="true"/>
        </w:rPr>
        <w:t xml:space="preserve">, </w:t>
      </w:r>
      <w:r>
        <w:rPr>
          <w:rtl w:val="true"/>
        </w:rPr>
        <w:t>ובעיקר בשל העובדה שהנאשם נושא עתה עונש של מאסר עולם</w:t>
      </w:r>
      <w:r>
        <w:rPr>
          <w:rtl w:val="true"/>
        </w:rPr>
        <w:t xml:space="preserve">, </w:t>
      </w:r>
      <w:r>
        <w:rPr>
          <w:rtl w:val="true"/>
        </w:rPr>
        <w:t>ההסדר סביר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 זאת אני גוזר על הנאשם  שנת מאסר בפועל</w:t>
      </w:r>
      <w:r>
        <w:rPr>
          <w:rtl w:val="true"/>
        </w:rPr>
        <w:t xml:space="preserve">, </w:t>
      </w:r>
      <w:r>
        <w:rPr>
          <w:rtl w:val="true"/>
        </w:rPr>
        <w:t>מחציתה מצטברת למאסר שהוא נושא עתה והמחצית השנייה חופפת למאסר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זכות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ניתן והודע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 אדר א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21/02/2011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צבי גורפינקל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צבי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גורפינקל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ליאת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כהן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20573-06-10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אוסקר אורן הובא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2011-04-06T10:51:00Z</dcterms:created>
  <dc:creator> </dc:creator>
  <dc:description/>
  <cp:keywords/>
  <dc:language>en-IL</dc:language>
  <cp:lastModifiedBy>hofit</cp:lastModifiedBy>
  <dcterms:modified xsi:type="dcterms:W3CDTF">2011-04-06T10:51:00Z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אוסקר אורן הובא</vt:lpwstr>
  </property>
  <property fmtid="{D5CDD505-2E9C-101B-9397-08002B2CF9AE}" pid="4" name="CITY">
    <vt:lpwstr>ת"א</vt:lpwstr>
  </property>
  <property fmtid="{D5CDD505-2E9C-101B-9397-08002B2CF9AE}" pid="5" name="DATE">
    <vt:lpwstr>20110221</vt:lpwstr>
  </property>
  <property fmtid="{D5CDD505-2E9C-101B-9397-08002B2CF9AE}" pid="6" name="JUDGE">
    <vt:lpwstr>צבי גורפינקל</vt:lpwstr>
  </property>
  <property fmtid="{D5CDD505-2E9C-101B-9397-08002B2CF9AE}" pid="7" name="LAWYER">
    <vt:lpwstr> ריכטנברג; הליווי רהט ניר;הובא</vt:lpwstr>
  </property>
  <property fmtid="{D5CDD505-2E9C-101B-9397-08002B2CF9AE}" pid="8" name="NEWPARTA">
    <vt:lpwstr>20573</vt:lpwstr>
  </property>
  <property fmtid="{D5CDD505-2E9C-101B-9397-08002B2CF9AE}" pid="9" name="NEWPARTB">
    <vt:lpwstr>06</vt:lpwstr>
  </property>
  <property fmtid="{D5CDD505-2E9C-101B-9397-08002B2CF9AE}" pid="10" name="NEWPARTC">
    <vt:lpwstr>10</vt:lpwstr>
  </property>
  <property fmtid="{D5CDD505-2E9C-101B-9397-08002B2CF9AE}" pid="11" name="NEWPROC">
    <vt:lpwstr>תפ</vt:lpwstr>
  </property>
  <property fmtid="{D5CDD505-2E9C-101B-9397-08002B2CF9AE}" pid="12" name="PSAKDIN">
    <vt:lpwstr>גזר-דין</vt:lpwstr>
  </property>
  <property fmtid="{D5CDD505-2E9C-101B-9397-08002B2CF9AE}" pid="13" name="RemarkFileName">
    <vt:lpwstr>mechozi me 10 06 20573 560 htm</vt:lpwstr>
  </property>
  <property fmtid="{D5CDD505-2E9C-101B-9397-08002B2CF9AE}" pid="14" name="TYPE">
    <vt:lpwstr>2</vt:lpwstr>
  </property>
  <property fmtid="{D5CDD505-2E9C-101B-9397-08002B2CF9AE}" pid="15" name="TYPE_ABS_DATE">
    <vt:lpwstr>390020110221</vt:lpwstr>
  </property>
  <property fmtid="{D5CDD505-2E9C-101B-9397-08002B2CF9AE}" pid="16" name="TYPE_N_DATE">
    <vt:lpwstr>39020110221</vt:lpwstr>
  </property>
  <property fmtid="{D5CDD505-2E9C-101B-9397-08002B2CF9AE}" pid="17" name="WORDNUMPAGES">
    <vt:lpwstr>2</vt:lpwstr>
  </property>
</Properties>
</file>