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20613-06-17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עגלה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49"/>
        <w:gridCol w:w="2743"/>
        <w:gridCol w:w="882"/>
      </w:tblGrid>
      <w:tr>
        <w:trPr>
          <w:trHeight w:val="295" w:hRule="atLeast"/>
        </w:trPr>
        <w:tc>
          <w:tcPr>
            <w:tcW w:w="793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אליהו ביתן</w:t>
            </w:r>
          </w:p>
        </w:tc>
        <w:tc>
          <w:tcPr>
            <w:tcW w:w="8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2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62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עבד אלכרים עגלה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62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3" w:name="PsakDin"/>
            <w:bookmarkStart w:id="4" w:name="LawTable_End"/>
            <w:bookmarkEnd w:id="3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-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")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").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שאהין</w:t>
      </w:r>
      <w:r>
        <w:rPr>
          <w:rtl w:val="true"/>
        </w:rPr>
        <w:t xml:space="preserve">")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עיאדה</w:t>
      </w:r>
      <w:r>
        <w:rPr>
          <w:rtl w:val="true"/>
        </w:rPr>
        <w:t xml:space="preserve">") -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,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בקורס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15-20</w:t>
      </w:r>
      <w:r>
        <w:rPr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RPG</w:t>
      </w:r>
      <w:r>
        <w:rPr>
          <w:rtl w:val="true"/>
        </w:rPr>
        <w:t xml:space="preserve"> </w:t>
      </w:r>
      <w:r>
        <w:rPr>
          <w:rtl w:val="true"/>
        </w:rPr>
        <w:t>וקלצ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עיאדה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15.05.10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ליתומים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15.05.17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הנכבה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tl w:val="true"/>
        </w:rPr>
        <w:t>-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אדמתו</w:t>
      </w:r>
      <w:r>
        <w:rPr>
          <w:rtl w:val="true"/>
        </w:rPr>
        <w:t xml:space="preserve">.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bookmarkStart w:id="5" w:name="ABSTRACT_START"/>
      <w:bookmarkEnd w:id="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/>
        <w:t>1945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")-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");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;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והסתננות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הסתננות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ושיפוט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;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/>
        <w:t>5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בהתחשב במעשי הנאשם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בעבירות בהן הורשע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במועד ביצוע העבירות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במקום ביצוע העבירות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בעובדה שהוא תושב רצועת עזה ולא תושב ישראל החב לה נאמנות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בהודאת הנאשם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בענישה הנוהגת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בעובדה כי אין לחובת הנאשם הרשעות קודמות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ובקושי המיוחד של תושב זר לשאת מאסר בישראל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הרי שהעונש המוצע על ידי הצדדים סביר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6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נוכח האמור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אני מקבל את המלצת הצדדים וגוזר על הנאשם את העונשים הבאים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א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24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מיום מעצרו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ב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12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על תנאי למשך שלוש שנים מיום שחרורו מהמאסר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שלא יעבור עבירת נשק או עבירת פשע נגד בטחון המדינה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 xml:space="preserve">זכות ערעור בתוך </w:t>
      </w:r>
      <w:r>
        <w:rPr>
          <w:rFonts w:cs="FrankRuehl" w:ascii="FrankRuehl" w:hAnsi="FrankRuehl"/>
          <w:color w:val="000000"/>
          <w:lang w:eastAsia="he-IL"/>
        </w:rPr>
        <w:t>45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יום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20613-06-17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אלכרים עגלה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c" TargetMode="External"/><Relationship Id="rId5" Type="http://schemas.openxmlformats.org/officeDocument/2006/relationships/hyperlink" Target="http://www.nevo.co.il/law/141771" TargetMode="External"/><Relationship Id="rId6" Type="http://schemas.openxmlformats.org/officeDocument/2006/relationships/hyperlink" Target="http://www.nevo.co.il/law/141771/22.b" TargetMode="External"/><Relationship Id="rId7" Type="http://schemas.openxmlformats.org/officeDocument/2006/relationships/hyperlink" Target="http://www.nevo.co.il/law/141771/2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3.b" TargetMode="External"/><Relationship Id="rId10" Type="http://schemas.openxmlformats.org/officeDocument/2006/relationships/hyperlink" Target="http://www.nevo.co.il/law/70301/144.a.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2510" TargetMode="External"/><Relationship Id="rId13" Type="http://schemas.openxmlformats.org/officeDocument/2006/relationships/hyperlink" Target="http://www.nevo.co.il/law/72510/2" TargetMode="External"/><Relationship Id="rId14" Type="http://schemas.openxmlformats.org/officeDocument/2006/relationships/hyperlink" Target="http://www.nevo.co.il/law/73729/85.1.a" TargetMode="External"/><Relationship Id="rId15" Type="http://schemas.openxmlformats.org/officeDocument/2006/relationships/hyperlink" Target="http://www.nevo.co.il/law/73729" TargetMode="External"/><Relationship Id="rId16" Type="http://schemas.openxmlformats.org/officeDocument/2006/relationships/hyperlink" Target="http://www.nevo.co.il/law/141771/22.b" TargetMode="External"/><Relationship Id="rId17" Type="http://schemas.openxmlformats.org/officeDocument/2006/relationships/hyperlink" Target="http://www.nevo.co.il/law/141771" TargetMode="External"/><Relationship Id="rId18" Type="http://schemas.openxmlformats.org/officeDocument/2006/relationships/hyperlink" Target="http://www.nevo.co.il/law/73729/85.1.c" TargetMode="External"/><Relationship Id="rId19" Type="http://schemas.openxmlformats.org/officeDocument/2006/relationships/hyperlink" Target="http://www.nevo.co.il/law/141771/23" TargetMode="External"/><Relationship Id="rId20" Type="http://schemas.openxmlformats.org/officeDocument/2006/relationships/hyperlink" Target="http://www.nevo.co.il/law/70301/143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.;144.b" TargetMode="External"/><Relationship Id="rId23" Type="http://schemas.openxmlformats.org/officeDocument/2006/relationships/hyperlink" Target="http://www.nevo.co.il/law/72510/2" TargetMode="External"/><Relationship Id="rId24" Type="http://schemas.openxmlformats.org/officeDocument/2006/relationships/hyperlink" Target="http://www.nevo.co.il/law/72510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2018-07-26T11:56:00Z</dcterms:created>
  <dc:creator> </dc:creator>
  <dc:description/>
  <cp:keywords/>
  <dc:language>en-IL</dc:language>
  <cp:lastModifiedBy>run</cp:lastModifiedBy>
  <dcterms:modified xsi:type="dcterms:W3CDTF">2018-07-26T11:56:00Z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אלכרים עגלה</vt:lpwstr>
  </property>
  <property fmtid="{D5CDD505-2E9C-101B-9397-08002B2CF9AE}" pid="4" name="CITY">
    <vt:lpwstr>ב"ש</vt:lpwstr>
  </property>
  <property fmtid="{D5CDD505-2E9C-101B-9397-08002B2CF9AE}" pid="5" name="DATE">
    <vt:lpwstr>20180702</vt:lpwstr>
  </property>
  <property fmtid="{D5CDD505-2E9C-101B-9397-08002B2CF9AE}" pid="6" name="ISABSTRACT">
    <vt:lpwstr>Y</vt:lpwstr>
  </property>
  <property fmtid="{D5CDD505-2E9C-101B-9397-08002B2CF9AE}" pid="7" name="JUDGE">
    <vt:lpwstr>אליהו ביתן</vt:lpwstr>
  </property>
  <property fmtid="{D5CDD505-2E9C-101B-9397-08002B2CF9AE}" pid="8" name="LAWLISTTMP1">
    <vt:lpwstr>73729/085.1.a;085.1.c</vt:lpwstr>
  </property>
  <property fmtid="{D5CDD505-2E9C-101B-9397-08002B2CF9AE}" pid="9" name="LAWLISTTMP2">
    <vt:lpwstr>141771/022.b;023</vt:lpwstr>
  </property>
  <property fmtid="{D5CDD505-2E9C-101B-9397-08002B2CF9AE}" pid="10" name="LAWLISTTMP3">
    <vt:lpwstr>70301/143.b;144.a;144.b</vt:lpwstr>
  </property>
  <property fmtid="{D5CDD505-2E9C-101B-9397-08002B2CF9AE}" pid="11" name="LAWLISTTMP4">
    <vt:lpwstr>72510/002</vt:lpwstr>
  </property>
  <property fmtid="{D5CDD505-2E9C-101B-9397-08002B2CF9AE}" pid="12" name="NEWPARTA">
    <vt:lpwstr>20613</vt:lpwstr>
  </property>
  <property fmtid="{D5CDD505-2E9C-101B-9397-08002B2CF9AE}" pid="13" name="NEWPARTB">
    <vt:lpwstr>06</vt:lpwstr>
  </property>
  <property fmtid="{D5CDD505-2E9C-101B-9397-08002B2CF9AE}" pid="14" name="NEWPARTC">
    <vt:lpwstr>17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390020180702</vt:lpwstr>
  </property>
  <property fmtid="{D5CDD505-2E9C-101B-9397-08002B2CF9AE}" pid="19" name="TYPE_N_DATE">
    <vt:lpwstr>39020180702</vt:lpwstr>
  </property>
  <property fmtid="{D5CDD505-2E9C-101B-9397-08002B2CF9AE}" pid="20" name="WORDNUMPAGES">
    <vt:lpwstr>3</vt:lpwstr>
  </property>
</Properties>
</file>