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20674-07-12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עשיוי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פרקליטות מחוז מרכז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לילה עשיוי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חביב סלאמה –הסתיים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מוחמד חגאזי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אסיר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) –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הסתיים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חמדי אלקרינאוי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הילה כהן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שוקרי אבו טביק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273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274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274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eastAsia="David" w:cs="FrankRuehl" w:ascii="FrankRuehl" w:hAnsi="FrankRuehl"/>
            <w:b/>
            <w:bCs/>
          </w:rPr>
          <w:t>1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eastAsia="David" w:cs="FrankRuehl" w:ascii="FrankRuehl" w:hAnsi="FrankRuehl"/>
            <w:b/>
            <w:bCs/>
          </w:rPr>
          <w:t>3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8" w:name="PsakDin"/>
      <w:bookmarkEnd w:id="8"/>
      <w:r>
        <w:rPr>
          <w:rtl w:val="true"/>
        </w:rPr>
        <w:t xml:space="preserve">הנאשמת הורשעה על פי הודאתו בעבודות כתב האישום המתוקן בביצוע עבירה של תקיפת שוטר בנסיבות מחמירות 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"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 ומדובר בהסדר סגור לעניין העונש</w:t>
      </w:r>
      <w:r>
        <w:rPr>
          <w:rtl w:val="true"/>
        </w:rPr>
        <w:t xml:space="preserve">, </w:t>
      </w:r>
      <w:r>
        <w:rPr>
          <w:rtl w:val="true"/>
        </w:rPr>
        <w:t>לא מצאתי צורך לפרט את כל עובדות כתב האישום 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לחובתה של הנאשמת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מוגש ומסומן 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טיעוני הצדדים בכוונתי לכבד את ההסדר בהיותו סביר ומאוזן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התקבל תסקיר מטעם שירות המבחן שמפרט את נסיבותיה האישיות של הנאשמת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 אני משית על הנאשמת את העונשים 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start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תבצע עבירה לפי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>
          <w:rtl w:val="true"/>
        </w:rPr>
        <w:t>-</w:t>
      </w:r>
      <w:hyperlink r:id="rId11">
        <w:r>
          <w:rPr>
            <w:rStyle w:val="Hyperlink"/>
          </w:rPr>
          <w:t>274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start"/>
        <w:rPr/>
      </w:pPr>
      <w:r>
        <w:rPr>
          <w:rtl w:val="true"/>
        </w:rPr>
        <w:t xml:space="preserve">הנאשמת תשלם פיצוי בסך כולל של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וזאת עבור השוטרים</w:t>
      </w:r>
      <w:r>
        <w:rPr>
          <w:rtl w:val="true"/>
        </w:rPr>
        <w:t xml:space="preserve">,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 xml:space="preserve">ל יקיר אוחיון </w:t>
      </w:r>
      <w:r>
        <w:rPr>
          <w:rtl w:val="true"/>
        </w:rPr>
        <w:t>(</w:t>
      </w:r>
      <w:r>
        <w:rPr>
          <w:rtl w:val="true"/>
        </w:rPr>
        <w:t xml:space="preserve">עד תביעה </w:t>
      </w:r>
      <w:r>
        <w:rPr/>
        <w:t>4</w:t>
      </w:r>
      <w:r>
        <w:rPr>
          <w:rtl w:val="true"/>
        </w:rPr>
        <w:t xml:space="preserve">) , </w:t>
      </w:r>
      <w:r>
        <w:rPr>
          <w:rtl w:val="true"/>
        </w:rPr>
        <w:t xml:space="preserve">משה אברהם </w:t>
      </w:r>
      <w:r>
        <w:rPr>
          <w:rtl w:val="true"/>
        </w:rPr>
        <w:t>(</w:t>
      </w:r>
      <w:r>
        <w:rPr>
          <w:rtl w:val="true"/>
        </w:rPr>
        <w:t xml:space="preserve">עד תביעה 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 xml:space="preserve">ונתנאל מסיקה </w:t>
      </w:r>
      <w:r>
        <w:rPr>
          <w:rtl w:val="true"/>
        </w:rPr>
        <w:t>(</w:t>
      </w:r>
      <w:r>
        <w:rPr>
          <w:rtl w:val="true"/>
        </w:rPr>
        <w:t xml:space="preserve">עד תביעה </w:t>
      </w:r>
      <w:r>
        <w:rPr/>
        <w:t>2</w:t>
      </w:r>
      <w:r>
        <w:rPr>
          <w:rtl w:val="true"/>
        </w:rPr>
        <w:t xml:space="preserve">).  </w:t>
      </w:r>
      <w:r>
        <w:rPr>
          <w:rtl w:val="true"/>
        </w:rPr>
        <w:t xml:space="preserve">הסכום הכולל של הפיצוי יתחלק באופן שווה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מתוך סכום הפיצוי יקוזז מתוך הפקדה כספית שהפקידה הנאשמת במסגרת תיק ע</w:t>
      </w:r>
      <w:r>
        <w:rPr>
          <w:rtl w:val="true"/>
        </w:rPr>
        <w:t>"</w:t>
      </w:r>
      <w:r>
        <w:rPr>
          <w:rtl w:val="true"/>
        </w:rPr>
        <w:t xml:space="preserve">מי </w:t>
      </w:r>
      <w:r>
        <w:rPr/>
        <w:t>26115-12</w:t>
      </w:r>
      <w:r>
        <w:rPr>
          <w:rtl w:val="true"/>
        </w:rPr>
        <w:t>—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של בימ</w:t>
      </w:r>
      <w:r>
        <w:rPr>
          <w:rtl w:val="true"/>
        </w:rPr>
        <w:t>"</w:t>
      </w:r>
      <w:r>
        <w:rPr>
          <w:rtl w:val="true"/>
        </w:rPr>
        <w:t>ש מחוזי מחוז מרכז שעניינו ערר על מעצר ימים לגבי האירוע נשוא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היתרה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תשולם ב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הראשון שבהם ישולם עד ליום </w:t>
      </w:r>
      <w:r>
        <w:rPr/>
        <w:t>1.4.15</w:t>
      </w:r>
      <w:r>
        <w:rPr>
          <w:rtl w:val="true"/>
        </w:rPr>
        <w:t xml:space="preserve"> </w:t>
      </w:r>
      <w:r>
        <w:rPr>
          <w:rtl w:val="true"/>
        </w:rPr>
        <w:t xml:space="preserve">והתשלום השני עד ליום </w:t>
      </w:r>
      <w:r>
        <w:rPr/>
        <w:t>1.5.15</w:t>
      </w:r>
      <w:r>
        <w:rPr>
          <w:rtl w:val="true"/>
        </w:rPr>
        <w:t xml:space="preserve">. </w:t>
      </w:r>
      <w:r>
        <w:rPr>
          <w:rtl w:val="true"/>
        </w:rPr>
        <w:t>היה והתשלום הראשון לא ישולם במועד אזי יעמוד מלוא סכום הפיצוי לפירעון מידי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start"/>
        <w:rPr/>
      </w:pPr>
      <w:r>
        <w:rPr>
          <w:rtl w:val="true"/>
        </w:rPr>
        <w:t xml:space="preserve">הנני מטיל על הנאשמת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שעות שירות לתועלת הציבור</w:t>
      </w:r>
      <w:r>
        <w:rPr>
          <w:rtl w:val="true"/>
        </w:rPr>
        <w:t xml:space="preserve">, </w:t>
      </w:r>
      <w:r>
        <w:rPr>
          <w:rtl w:val="true"/>
        </w:rPr>
        <w:t>שאותם יש לבצע בתיאום של שירות המבחן בביה</w:t>
      </w:r>
      <w:r>
        <w:rPr>
          <w:rtl w:val="true"/>
        </w:rPr>
        <w:t>"</w:t>
      </w:r>
      <w:r>
        <w:rPr>
          <w:rtl w:val="true"/>
        </w:rPr>
        <w:t>ס אלחנן לחינוך מיוחד כסייעת לחונך והן בניקיון 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מובהר לנאשמת שבמידה ולא תשתף פעולה עם שירות המבחן ולא תבצע את שעות השל</w:t>
      </w:r>
      <w:r>
        <w:rPr>
          <w:rtl w:val="true"/>
        </w:rPr>
        <w:t>"</w:t>
      </w:r>
      <w:r>
        <w:rPr>
          <w:rtl w:val="true"/>
        </w:rPr>
        <w:t>צ בימ</w:t>
      </w:r>
      <w:r>
        <w:rPr>
          <w:rtl w:val="true"/>
        </w:rPr>
        <w:t>"</w:t>
      </w:r>
      <w:r>
        <w:rPr>
          <w:rtl w:val="true"/>
        </w:rPr>
        <w:t>ש רשאי לדון אותה לעונש אחר ולא לשעות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שעות השל</w:t>
      </w:r>
      <w:r>
        <w:rPr>
          <w:rtl w:val="true"/>
        </w:rPr>
        <w:t>"</w:t>
      </w:r>
      <w:r>
        <w:rPr>
          <w:rtl w:val="true"/>
        </w:rPr>
        <w:t xml:space="preserve">צ יש לסיימן לא יאוחר מיום </w:t>
      </w:r>
      <w:r>
        <w:rPr/>
        <w:t>31.12.15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start"/>
        <w:rPr/>
      </w:pPr>
      <w:r>
        <w:rPr>
          <w:rtl w:val="true"/>
        </w:rPr>
        <w:t xml:space="preserve">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9" w:name="_GoBack"/>
      <w:bookmarkStart w:id="10" w:name="_GoBack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15/01/2015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הישאם אבו שחאדה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איילה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 </w:t>
      </w:r>
      <w:r>
        <w:rPr>
          <w:rtl w:val="true"/>
        </w:rPr>
        <w:t>פרתוק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20674-07-12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 מחוז 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לילה עשיוי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73" TargetMode="External"/><Relationship Id="rId4" Type="http://schemas.openxmlformats.org/officeDocument/2006/relationships/hyperlink" Target="http://www.nevo.co.il/law/70301/274" TargetMode="External"/><Relationship Id="rId5" Type="http://schemas.openxmlformats.org/officeDocument/2006/relationships/hyperlink" Target="http://www.nevo.co.il/law/70301/274.1" TargetMode="External"/><Relationship Id="rId6" Type="http://schemas.openxmlformats.org/officeDocument/2006/relationships/hyperlink" Target="http://www.nevo.co.il/law/70301/274.3" TargetMode="External"/><Relationship Id="rId7" Type="http://schemas.openxmlformats.org/officeDocument/2006/relationships/hyperlink" Target="http://www.nevo.co.il/law/70301/274.1" TargetMode="External"/><Relationship Id="rId8" Type="http://schemas.openxmlformats.org/officeDocument/2006/relationships/hyperlink" Target="http://www.nevo.co.il/law/70301/274.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3" TargetMode="External"/><Relationship Id="rId11" Type="http://schemas.openxmlformats.org/officeDocument/2006/relationships/hyperlink" Target="http://www.nevo.co.il/law/70301/27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2015-04-30T12:21:00Z</dcterms:created>
  <dc:creator> </dc:creator>
  <dc:description/>
  <cp:keywords/>
  <dc:language>en-IL</dc:language>
  <cp:lastModifiedBy>hofit</cp:lastModifiedBy>
  <dcterms:modified xsi:type="dcterms:W3CDTF">2015-04-30T12:21:00Z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לילה עשיוי;חביב סלאמה הסתיים;מוחמד חגאזי (אסיר) הסתיים;חמדי אלקרינאוי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ProcID=74&amp;PartA=26115&amp;PartB=12&amp;PartC=10</vt:lpwstr>
  </property>
  <property fmtid="{D5CDD505-2E9C-101B-9397-08002B2CF9AE}" pid="9" name="CASENOTES2">
    <vt:lpwstr>ProcID=74&amp;PartA=26115&amp;PartC=12</vt:lpwstr>
  </property>
  <property fmtid="{D5CDD505-2E9C-101B-9397-08002B2CF9AE}" pid="10" name="CITY">
    <vt:lpwstr>רמ'</vt:lpwstr>
  </property>
  <property fmtid="{D5CDD505-2E9C-101B-9397-08002B2CF9AE}" pid="11" name="DATE">
    <vt:lpwstr>20150115</vt:lpwstr>
  </property>
  <property fmtid="{D5CDD505-2E9C-101B-9397-08002B2CF9AE}" pid="12" name="DELEMATA">
    <vt:lpwstr/>
  </property>
  <property fmtid="{D5CDD505-2E9C-101B-9397-08002B2CF9AE}" pid="13" name="JUDGE">
    <vt:lpwstr>הישאם אבו שחאדה</vt:lpwstr>
  </property>
  <property fmtid="{D5CDD505-2E9C-101B-9397-08002B2CF9AE}" pid="14" name="LAWLISTTMP1">
    <vt:lpwstr>70301/274.1;274.3;273;274</vt:lpwstr>
  </property>
  <property fmtid="{D5CDD505-2E9C-101B-9397-08002B2CF9AE}" pid="15" name="LAWYER">
    <vt:lpwstr>הילה כהן;שוקרי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20674</vt:lpwstr>
  </property>
  <property fmtid="{D5CDD505-2E9C-101B-9397-08002B2CF9AE}" pid="22" name="NEWPARTB">
    <vt:lpwstr>07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380020150115</vt:lpwstr>
  </property>
  <property fmtid="{D5CDD505-2E9C-101B-9397-08002B2CF9AE}" pid="34" name="TYPE_N_DATE">
    <vt:lpwstr>38020150115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