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6396"/>
        <w:gridCol w:w="239"/>
        <w:gridCol w:w="2085"/>
      </w:tblGrid>
      <w:tr>
        <w:trPr>
          <w:trHeight w:val="418" w:hRule="exact"/>
        </w:trPr>
        <w:tc>
          <w:tcPr>
            <w:tcW w:w="8720" w:type="dxa"/>
            <w:gridSpan w:val="3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center"/>
              <w:rPr>
                <w:rFonts w:ascii="Tahoma" w:hAnsi="Tahoma" w:cs="Tahoma"/>
                <w:b/>
                <w:bCs/>
                <w:color w:val="000080"/>
                <w:sz w:val="20"/>
                <w:szCs w:val="2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sz w:val="20"/>
                <w:sz w:val="20"/>
                <w:szCs w:val="20"/>
                <w:rtl w:val="true"/>
              </w:rPr>
              <w:t>בית המשפט המחוזי בנצרת</w:t>
            </w:r>
          </w:p>
        </w:tc>
      </w:tr>
      <w:tr>
        <w:trPr>
          <w:trHeight w:val="337" w:hRule="atLeast"/>
        </w:trPr>
        <w:tc>
          <w:tcPr>
            <w:tcW w:w="6396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ת</w:t>
            </w:r>
            <w:r>
              <w:rPr>
                <w:b/>
                <w:bCs/>
                <w:sz w:val="26"/>
                <w:szCs w:val="26"/>
                <w:rtl w:val="true"/>
              </w:rPr>
              <w:t>"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פ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Cs/>
                <w:sz w:val="26"/>
                <w:szCs w:val="26"/>
              </w:rPr>
              <w:t>20722-03-14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מדינת ישראל נ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'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>עדוי</w:t>
            </w:r>
          </w:p>
          <w:p>
            <w:pPr>
              <w:pStyle w:val="Normal"/>
              <w:ind w:end="0"/>
              <w:jc w:val="start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39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2085" w:type="dxa"/>
            <w:tcBorders/>
          </w:tcPr>
          <w:p>
            <w:pPr>
              <w:pStyle w:val="Header"/>
              <w:tabs>
                <w:tab w:val="clear" w:pos="720"/>
              </w:tabs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b/>
                <w:bCs/>
                <w:sz w:val="26"/>
                <w:szCs w:val="26"/>
              </w:rPr>
              <w:t>28</w:t>
            </w:r>
            <w:r>
              <w:rPr>
                <w:b/>
                <w:bCs/>
                <w:sz w:val="26"/>
                <w:szCs w:val="26"/>
                <w:rtl w:val="true"/>
              </w:rPr>
              <w:t xml:space="preserve"> </w:t>
            </w:r>
            <w:r>
              <w:rPr>
                <w:b/>
                <w:b/>
                <w:bCs/>
                <w:sz w:val="26"/>
                <w:sz w:val="26"/>
                <w:szCs w:val="26"/>
                <w:rtl w:val="true"/>
              </w:rPr>
              <w:t xml:space="preserve">יוני </w:t>
            </w:r>
            <w:r>
              <w:rPr>
                <w:b/>
                <w:bCs/>
                <w:sz w:val="26"/>
                <w:szCs w:val="26"/>
              </w:rPr>
              <w:t>2016</w:t>
            </w:r>
          </w:p>
        </w:tc>
      </w:tr>
    </w:tbl>
    <w:p>
      <w:pPr>
        <w:pStyle w:val="Header"/>
        <w:ind w:end="0"/>
        <w:jc w:val="center"/>
        <w:rPr>
          <w:rFonts w:ascii="Tahoma" w:hAnsi="Tahoma" w:cs="Tahoma"/>
          <w:b/>
          <w:bCs/>
          <w:color w:val="000080"/>
          <w:sz w:val="20"/>
          <w:szCs w:val="20"/>
        </w:rPr>
      </w:pPr>
      <w:r>
        <w:rPr>
          <w:rFonts w:cs="Tahoma" w:ascii="Tahoma" w:hAnsi="Tahoma"/>
          <w:b/>
          <w:bCs/>
          <w:color w:val="000080"/>
          <w:sz w:val="20"/>
          <w:szCs w:val="20"/>
          <w:rtl w:val="true"/>
        </w:rPr>
      </w:r>
    </w:p>
    <w:p>
      <w:pPr>
        <w:pStyle w:val="Normal"/>
        <w:suppressLineNumbers/>
        <w:ind w:end="0"/>
        <w:jc w:val="start"/>
        <w:rPr>
          <w:rFonts w:ascii="Arial" w:hAnsi="Arial" w:cs="Arial"/>
          <w:b/>
          <w:bCs/>
          <w:color w:val="000080"/>
          <w:sz w:val="20"/>
          <w:szCs w:val="20"/>
        </w:rPr>
      </w:pPr>
      <w:r>
        <w:rPr>
          <w:rFonts w:cs="Arial" w:ascii="Arial" w:hAnsi="Arial"/>
          <w:b/>
          <w:bCs/>
          <w:color w:val="000080"/>
          <w:sz w:val="20"/>
          <w:szCs w:val="20"/>
          <w:rtl w:val="true"/>
        </w:rPr>
      </w:r>
    </w:p>
    <w:tbl>
      <w:tblPr>
        <w:bidiVisual w:val="true"/>
        <w:tblW w:w="87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1592"/>
        <w:gridCol w:w="7128"/>
      </w:tblGrid>
      <w:tr>
        <w:trPr>
          <w:trHeight w:val="337" w:hRule="atLeast"/>
        </w:trPr>
        <w:tc>
          <w:tcPr>
            <w:tcW w:w="1592" w:type="dxa"/>
            <w:tcBorders/>
          </w:tcPr>
          <w:p>
            <w:pPr>
              <w:pStyle w:val="Header"/>
              <w:bidi w:val="0"/>
              <w:spacing w:lineRule="auto" w:line="360"/>
              <w:jc w:val="both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</w:rPr>
              <w:t xml:space="preserve">  </w:t>
            </w:r>
          </w:p>
        </w:tc>
        <w:tc>
          <w:tcPr>
            <w:tcW w:w="7128" w:type="dxa"/>
            <w:tcBorders/>
          </w:tcPr>
          <w:p>
            <w:pPr>
              <w:pStyle w:val="Header"/>
              <w:ind w:end="0"/>
              <w:jc w:val="end"/>
              <w:rPr>
                <w:b/>
                <w:bCs/>
                <w:sz w:val="26"/>
                <w:szCs w:val="26"/>
              </w:rPr>
            </w:pPr>
            <w:r>
              <w:rPr>
                <w:rtl w:val="true"/>
              </w:rPr>
              <w:t xml:space="preserve"> </w:t>
            </w:r>
          </w:p>
        </w:tc>
      </w:tr>
    </w:tbl>
    <w:p>
      <w:pPr>
        <w:pStyle w:val="Normal"/>
        <w:suppressLineNumbers/>
        <w:ind w:end="0"/>
        <w:jc w:val="start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  <w:b/>
          <w:bCs/>
        </w:rPr>
      </w:pPr>
      <w:r>
        <w:rPr>
          <w:rFonts w:cs="Arial" w:ascii="Arial" w:hAnsi="Arial"/>
          <w:b/>
          <w:bCs/>
          <w:rtl w:val="true"/>
        </w:rPr>
      </w:r>
    </w:p>
    <w:tbl>
      <w:tblPr>
        <w:bidiVisual w:val="true"/>
        <w:tblW w:w="8802" w:type="dxa"/>
        <w:jc w:val="start"/>
        <w:tblInd w:w="-162" w:type="dxa"/>
        <w:tblLayout w:type="fixed"/>
        <w:tblCellMar>
          <w:top w:w="0" w:type="dxa"/>
          <w:start w:w="0" w:type="dxa"/>
          <w:bottom w:w="0" w:type="dxa"/>
          <w:end w:w="0" w:type="dxa"/>
        </w:tblCellMar>
      </w:tblPr>
      <w:tblGrid>
        <w:gridCol w:w="84"/>
        <w:gridCol w:w="2796"/>
        <w:gridCol w:w="5922"/>
      </w:tblGrid>
      <w:tr>
        <w:trPr/>
        <w:tc>
          <w:tcPr>
            <w:tcW w:w="84" w:type="dxa"/>
            <w:tcBorders/>
          </w:tcPr>
          <w:p>
            <w:pPr>
              <w:pStyle w:val="TableHeading"/>
              <w:rPr/>
            </w:pPr>
            <w:r>
              <w:rPr>
                <w:rtl w:val="true"/>
              </w:rPr>
            </w:r>
          </w:p>
        </w:tc>
        <w:tc>
          <w:tcPr>
            <w:tcW w:w="8718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לפני כבוד ה</w:t>
            </w:r>
            <w:r>
              <w:rPr>
                <w:rFonts w:ascii="Times New Roman" w:hAnsi="Times New Roman" w:eastAsia="Times New Roman" w:cs="Times New Roman"/>
                <w:rtl w:val="true"/>
              </w:rPr>
              <w:t>שופט ג</w:t>
            </w:r>
            <w:r>
              <w:rPr>
                <w:rFonts w:eastAsia="Times New Roman" w:cs="Times New Roman" w:ascii="Times New Roman" w:hAnsi="Times New Roman"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rtl w:val="true"/>
              </w:rPr>
              <w:t>ורג</w:t>
            </w:r>
            <w:r>
              <w:rPr>
                <w:rFonts w:eastAsia="Times New Roman" w:cs="Times New Roman" w:ascii="Times New Roman" w:hAnsi="Times New Roman"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אזולאי</w:t>
            </w:r>
            <w:r>
              <w:rPr>
                <w:rStyle w:val="TimesNewRomanTimesNewRoman"/>
                <w:rFonts w:eastAsia="Times New Roman"/>
                <w:rtl w:val="true"/>
              </w:rPr>
              <w:t xml:space="preserve"> </w:t>
            </w:r>
          </w:p>
        </w:tc>
      </w:tr>
      <w:tr>
        <w:trPr>
          <w:trHeight w:val="724" w:hRule="atLeast"/>
          <w:cantSplit w:val="true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  <w:bookmarkStart w:id="1" w:name="FirstAppellant"/>
            <w:bookmarkStart w:id="2" w:name="FirstAppellant"/>
            <w:bookmarkEnd w:id="2"/>
          </w:p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המאשימה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מדינת ישראל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ascii="Arial" w:hAnsi="Arial" w:eastAsia="Times New Roman" w:cs="Arial"/>
                <w:b/>
                <w:b/>
                <w:bCs/>
                <w:sz w:val="26"/>
                <w:sz w:val="26"/>
                <w:szCs w:val="26"/>
                <w:rtl w:val="true"/>
              </w:rPr>
              <w:t>נגד</w:t>
            </w:r>
          </w:p>
          <w:p>
            <w:pPr>
              <w:pStyle w:val="Normal"/>
              <w:ind w:end="0"/>
              <w:jc w:val="start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/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start="26"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sz w:val="26"/>
                <w:sz w:val="26"/>
                <w:szCs w:val="26"/>
                <w:rtl w:val="true"/>
              </w:rPr>
              <w:t>הנאשם</w:t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  <w:t xml:space="preserve"> </w:t>
            </w:r>
            <w:r>
              <w:rPr>
                <w:rFonts w:ascii="Times New Roman" w:hAnsi="Times New Roman" w:eastAsia="Times New Roman" w:cs="Times New Roman"/>
                <w:rtl w:val="true"/>
              </w:rPr>
              <w:t>סאמר עדוי</w:t>
            </w:r>
          </w:p>
          <w:p>
            <w:pPr>
              <w:pStyle w:val="Normal"/>
              <w:ind w:end="0"/>
              <w:jc w:val="start"/>
              <w:rPr>
                <w:rFonts w:ascii="Times New Roman" w:hAnsi="Times New Roman" w:eastAsia="Times New Roman" w:cs="Times New Roman"/>
                <w:b/>
                <w:bCs/>
                <w:sz w:val="26"/>
                <w:szCs w:val="26"/>
              </w:rPr>
            </w:pPr>
            <w:r>
              <w:rPr>
                <w:rFonts w:eastAsia="Times New Roman" w:cs="Times New Roman" w:ascii="Times New Roman" w:hAnsi="Times New Roman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692" w:hRule="atLeast"/>
        </w:trPr>
        <w:tc>
          <w:tcPr>
            <w:tcW w:w="8802" w:type="dxa"/>
            <w:gridSpan w:val="3"/>
            <w:tcBorders/>
            <w:tcMar>
              <w:start w:w="108" w:type="dxa"/>
              <w:end w:w="108" w:type="dxa"/>
            </w:tcMar>
            <w:vAlign w:val="center"/>
          </w:tcPr>
          <w:p>
            <w:pPr>
              <w:pStyle w:val="Normal"/>
              <w:snapToGrid w:val="false"/>
              <w:ind w:end="0"/>
              <w:jc w:val="center"/>
              <w:rPr>
                <w:rFonts w:ascii="Arial" w:hAnsi="Arial" w:eastAsia="Times New Roman" w:cs="Arial"/>
                <w:b/>
                <w:bCs/>
                <w:sz w:val="26"/>
                <w:szCs w:val="26"/>
              </w:rPr>
            </w:pPr>
            <w:r>
              <w:rPr>
                <w:rFonts w:eastAsia="Times New Roman"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</w:tr>
      <w:tr>
        <w:trPr>
          <w:trHeight w:val="811" w:hRule="atLeast"/>
        </w:trPr>
        <w:tc>
          <w:tcPr>
            <w:tcW w:w="2880" w:type="dxa"/>
            <w:gridSpan w:val="2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Arial" w:hAnsi="Arial" w:cs="Arial"/>
                <w:b/>
                <w:bCs/>
                <w:sz w:val="26"/>
                <w:szCs w:val="26"/>
              </w:rPr>
            </w:pPr>
            <w:r>
              <w:rPr>
                <w:rFonts w:cs="Arial" w:ascii="Arial" w:hAnsi="Arial"/>
                <w:b/>
                <w:bCs/>
                <w:sz w:val="26"/>
                <w:szCs w:val="26"/>
                <w:rtl w:val="true"/>
              </w:rPr>
            </w:r>
          </w:p>
        </w:tc>
        <w:tc>
          <w:tcPr>
            <w:tcW w:w="5922" w:type="dxa"/>
            <w:tcBorders/>
            <w:tcMar>
              <w:start w:w="108" w:type="dxa"/>
              <w:end w:w="108" w:type="dxa"/>
            </w:tcMar>
          </w:tcPr>
          <w:p>
            <w:pPr>
              <w:pStyle w:val="Normal"/>
              <w:snapToGrid w:val="false"/>
              <w:ind w:end="0"/>
              <w:jc w:val="start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</w:tbl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b/>
          <w:b/>
          <w:bCs/>
          <w:rtl w:val="true"/>
        </w:rPr>
        <w:t>נוכחים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bookmarkStart w:id="3" w:name="FirstLawyer"/>
      <w:r>
        <w:rPr>
          <w:rFonts w:ascii="Arial" w:hAnsi="Arial" w:cs="Arial"/>
          <w:rtl w:val="true"/>
        </w:rPr>
        <w:t>מטעם</w:t>
      </w:r>
      <w:bookmarkEnd w:id="3"/>
      <w:r>
        <w:rPr>
          <w:rFonts w:ascii="Arial" w:hAnsi="Arial" w:cs="Arial"/>
          <w:rtl w:val="true"/>
        </w:rPr>
        <w:t xml:space="preserve"> המאשימה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שני אגוזי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הופיע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uppressLineNumbers/>
        <w:spacing w:lineRule="auto" w:line="360"/>
        <w:ind w:end="0"/>
        <w:jc w:val="start"/>
        <w:rPr>
          <w:rFonts w:ascii="Arial" w:hAnsi="Arial" w:cs="Arial"/>
        </w:rPr>
      </w:pPr>
      <w:r>
        <w:rPr>
          <w:rFonts w:ascii="Arial" w:hAnsi="Arial" w:cs="Arial"/>
          <w:rtl w:val="true"/>
        </w:rPr>
        <w:t xml:space="preserve">מטעם הנאשם </w:t>
      </w:r>
      <w:r>
        <w:rPr>
          <w:rFonts w:ascii="Arial" w:hAnsi="Arial" w:cs="Arial"/>
          <w:rtl w:val="true"/>
        </w:rPr>
        <w:t>–</w:t>
      </w:r>
      <w:r>
        <w:rPr>
          <w:rFonts w:ascii="Arial" w:hAnsi="Arial" w:cs="Arial"/>
          <w:rtl w:val="true"/>
        </w:rPr>
        <w:t xml:space="preserve"> עו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ד אחמד מסרי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6"/>
          <w:szCs w:val="6"/>
        </w:rPr>
      </w:pPr>
      <w:r>
        <w:rPr>
          <w:sz w:val="6"/>
          <w:szCs w:val="6"/>
          <w:rtl w:val="true"/>
        </w:rPr>
        <w:t>&lt;</w:t>
      </w:r>
      <w:r>
        <w:rPr>
          <w:sz w:val="6"/>
          <w:szCs w:val="6"/>
        </w:rPr>
        <w:t>#1#</w:t>
      </w:r>
      <w:r>
        <w:rPr>
          <w:sz w:val="6"/>
          <w:szCs w:val="6"/>
          <w:rtl w:val="true"/>
        </w:rPr>
        <w:t>&gt;</w:t>
      </w:r>
    </w:p>
    <w:p>
      <w:pPr>
        <w:pStyle w:val="12"/>
        <w:ind w:end="0"/>
        <w:jc w:val="start"/>
        <w:rPr>
          <w:b w:val="false"/>
          <w:bCs w:val="false"/>
          <w:sz w:val="6"/>
          <w:szCs w:val="6"/>
          <w:u w:val="none"/>
        </w:rPr>
      </w:pPr>
      <w:r>
        <w:rPr>
          <w:b w:val="false"/>
          <w:bCs w:val="false"/>
          <w:sz w:val="6"/>
          <w:szCs w:val="6"/>
          <w:u w:val="none"/>
          <w:rtl w:val="true"/>
        </w:rPr>
      </w:r>
    </w:p>
    <w:p>
      <w:pPr>
        <w:pStyle w:val="12"/>
        <w:ind w:end="0"/>
        <w:jc w:val="start"/>
        <w:rPr>
          <w:b w:val="false"/>
          <w:bCs w:val="false"/>
          <w:u w:val="none"/>
        </w:rPr>
      </w:pPr>
      <w:r>
        <w:rPr>
          <w:b w:val="false"/>
          <w:bCs w:val="false"/>
          <w:u w:val="none"/>
          <w:rtl w:val="true"/>
        </w:rPr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center"/>
        <w:rPr>
          <w:rFonts w:ascii="Arial" w:hAnsi="Arial" w:eastAsia="David" w:cs="David"/>
          <w:color w:val="FF0000"/>
          <w:sz w:val="28"/>
        </w:rPr>
      </w:pP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במסמך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זה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הושמטו</w:t>
      </w:r>
      <w:r>
        <w:rPr>
          <w:rFonts w:ascii="Arial" w:hAnsi="Arial" w:eastAsia="Arial" w:cs="Arial"/>
          <w:b/>
          <w:b/>
          <w:color w:val="FF0000"/>
          <w:sz w:val="28"/>
          <w:sz w:val="28"/>
          <w:rtl w:val="true"/>
        </w:rPr>
        <w:t xml:space="preserve"> </w:t>
      </w: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פרוטוקולי</w:t>
      </w:r>
      <w:bookmarkStart w:id="4" w:name="LawTable"/>
      <w:bookmarkEnd w:id="4"/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  <w:sz w:val="28"/>
        </w:rPr>
      </w:pPr>
      <w:r>
        <w:rPr>
          <w:rFonts w:eastAsia="David" w:cs="FrankRuehl" w:ascii="FrankRuehl" w:hAnsi="FrankRuehl"/>
          <w:color w:val="FF0000"/>
          <w:sz w:val="28"/>
          <w:rtl w:val="true"/>
        </w:rPr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  <w:color w:val="FF0000"/>
        </w:rPr>
      </w:pPr>
      <w:r>
        <w:rPr>
          <w:rFonts w:ascii="FrankRuehl" w:hAnsi="FrankRuehl" w:eastAsia="David" w:cs="FrankRuehl"/>
          <w:color w:val="FF0000"/>
          <w:rtl w:val="true"/>
        </w:rPr>
        <w:t>חקיקה שאוזכרה</w:t>
      </w:r>
      <w:r>
        <w:rPr>
          <w:rFonts w:eastAsia="David" w:cs="FrankRuehl" w:ascii="FrankRuehl" w:hAnsi="FrankRuehl"/>
          <w:color w:val="FF0000"/>
          <w:rtl w:val="true"/>
        </w:rPr>
        <w:t xml:space="preserve">: </w:t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hyperlink r:id="rId2"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חוק העונשין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 xml:space="preserve">, 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תשל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"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ז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-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1977</w:t>
        </w:r>
      </w:hyperlink>
      <w:r>
        <w:rPr>
          <w:rFonts w:eastAsia="David" w:cs="FrankRuehl" w:ascii="FrankRuehl" w:hAnsi="FrankRuehl"/>
          <w:rtl w:val="true"/>
        </w:rPr>
        <w:t xml:space="preserve">: </w:t>
      </w:r>
      <w:r>
        <w:rPr>
          <w:rFonts w:ascii="FrankRuehl" w:hAnsi="FrankRuehl" w:eastAsia="David" w:cs="FrankRuehl"/>
          <w:rtl w:val="true"/>
        </w:rPr>
        <w:t>סע</w:t>
      </w:r>
      <w:r>
        <w:rPr>
          <w:rFonts w:eastAsia="David" w:cs="FrankRuehl" w:ascii="FrankRuehl" w:hAnsi="FrankRuehl"/>
          <w:rtl w:val="true"/>
        </w:rPr>
        <w:t xml:space="preserve">'  </w:t>
      </w:r>
      <w:hyperlink r:id="rId3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144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א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4"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ascii="FrankRuehl" w:hAnsi="FrankRuehl" w:eastAsia="David" w:cs="FrankRuehl"/>
            <w:color w:val="0000FF"/>
            <w:u w:val="single"/>
            <w:rtl w:val="true"/>
          </w:rPr>
          <w:t>ב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5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1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  <w:r>
        <w:rPr>
          <w:rFonts w:eastAsia="David" w:cs="FrankRuehl" w:ascii="FrankRuehl" w:hAnsi="FrankRuehl"/>
          <w:rtl w:val="true"/>
        </w:rPr>
        <w:t xml:space="preserve">, </w:t>
      </w:r>
      <w:hyperlink r:id="rId6"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338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(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</w:rPr>
          <w:t>5</w:t>
        </w:r>
        <w:r>
          <w:rPr>
            <w:rStyle w:val="Hyperlink"/>
            <w:rFonts w:eastAsia="David" w:cs="FrankRuehl" w:ascii="FrankRuehl" w:hAnsi="FrankRuehl"/>
            <w:color w:val="0000FF"/>
            <w:u w:val="single"/>
            <w:rtl w:val="true"/>
          </w:rPr>
          <w:t>)</w:t>
        </w:r>
      </w:hyperlink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exact" w:line="240" w:before="0" w:after="120"/>
        <w:ind w:hanging="283" w:start="283" w:end="0"/>
        <w:jc w:val="both"/>
        <w:rPr>
          <w:rFonts w:ascii="FrankRuehl" w:hAnsi="FrankRuehl" w:eastAsia="David" w:cs="FrankRuehl"/>
        </w:rPr>
      </w:pPr>
      <w:r>
        <w:rPr>
          <w:rFonts w:eastAsia="David" w:cs="FrankRuehl" w:ascii="FrankRuehl" w:hAnsi="FrankRuehl"/>
          <w:rtl w:val="true"/>
        </w:rPr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center"/>
        <w:rPr>
          <w:rFonts w:ascii="Arial" w:hAnsi="Arial" w:eastAsia="David" w:cs="David"/>
          <w:sz w:val="28"/>
        </w:rPr>
      </w:pPr>
      <w:r>
        <w:rPr>
          <w:rFonts w:eastAsia="David" w:cs="David" w:ascii="Arial" w:hAnsi="Arial"/>
          <w:sz w:val="28"/>
          <w:rtl w:val="true"/>
        </w:rPr>
      </w:r>
      <w:bookmarkStart w:id="5" w:name="LawTable_End"/>
      <w:bookmarkStart w:id="6" w:name="LawTable_End"/>
      <w:bookmarkEnd w:id="6"/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center"/>
        <w:rPr>
          <w:rFonts w:ascii="Arial" w:hAnsi="Arial" w:eastAsia="David" w:cs="David"/>
          <w:b/>
          <w:color w:val="FF0000"/>
          <w:sz w:val="28"/>
        </w:rPr>
      </w:pPr>
      <w:r>
        <w:rPr>
          <w:rFonts w:eastAsia="David" w:cs="David" w:ascii="Arial" w:hAnsi="Arial"/>
          <w:b/>
          <w:color w:val="FF0000"/>
          <w:sz w:val="28"/>
          <w:rtl w:val="true"/>
        </w:rPr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center"/>
        <w:rPr>
          <w:rFonts w:ascii="FrankRuehl" w:hAnsi="FrankRuehl" w:eastAsia="David" w:cs="FrankRuehl"/>
        </w:rPr>
      </w:pPr>
      <w:r>
        <w:rPr>
          <w:rFonts w:ascii="Arial" w:hAnsi="Arial" w:eastAsia="David" w:cs="David"/>
          <w:b/>
          <w:b/>
          <w:color w:val="FF0000"/>
          <w:sz w:val="28"/>
          <w:sz w:val="28"/>
          <w:rtl w:val="true"/>
        </w:rPr>
        <w:t>ם</w:t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center"/>
        <w:rPr>
          <w:rFonts w:ascii="Arial" w:hAnsi="Arial"/>
          <w:b/>
          <w:bCs/>
          <w:sz w:val="28"/>
          <w:szCs w:val="28"/>
          <w:u w:val="single"/>
        </w:rPr>
      </w:pPr>
      <w:bookmarkStart w:id="7" w:name="PsakDin"/>
      <w:bookmarkEnd w:id="7"/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גזר</w:t>
      </w:r>
      <w:r>
        <w:rPr>
          <w:rFonts w:ascii="Arial" w:hAnsi="Arial" w:eastAsia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 </w:t>
      </w:r>
      <w:r>
        <w:rPr>
          <w:rFonts w:ascii="Arial" w:hAnsi="Arial" w:eastAsia="David" w:cs="David"/>
          <w:b/>
          <w:b/>
          <w:bCs/>
          <w:sz w:val="28"/>
          <w:sz w:val="28"/>
          <w:szCs w:val="28"/>
          <w:u w:val="single"/>
          <w:rtl w:val="true"/>
        </w:rPr>
        <w:t>דין</w:t>
      </w:r>
    </w:p>
    <w:p>
      <w:pPr>
        <w:pStyle w:val="normal-p"/>
        <w:tabs>
          <w:tab w:val="clear" w:pos="720"/>
          <w:tab w:val="left" w:pos="821" w:leader="none"/>
          <w:tab w:val="center" w:pos="4153" w:leader="none"/>
        </w:tabs>
        <w:bidi w:val="1"/>
        <w:spacing w:lineRule="auto" w:line="360" w:before="0" w:after="0"/>
        <w:ind w:end="0"/>
        <w:jc w:val="start"/>
        <w:rPr>
          <w:rStyle w:val="normal-h"/>
          <w:rFonts w:cs="David"/>
          <w:b/>
          <w:bCs/>
          <w:u w:val="single"/>
        </w:rPr>
      </w:pPr>
      <w:r>
        <w:rPr>
          <w:rFonts w:eastAsia="David" w:cs="David" w:ascii="Arial" w:hAnsi="Arial"/>
          <w:b/>
          <w:bCs/>
          <w:sz w:val="28"/>
          <w:szCs w:val="28"/>
          <w:u w:val="single"/>
          <w:rtl w:val="true"/>
        </w:rPr>
      </w:r>
      <w:bookmarkStart w:id="8" w:name="PsakDin"/>
      <w:bookmarkStart w:id="9" w:name="PsakDin"/>
      <w:bookmarkEnd w:id="9"/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bookmarkStart w:id="10" w:name="ABSTRACT_START"/>
      <w:bookmarkEnd w:id="10"/>
      <w:r>
        <w:rPr>
          <w:rStyle w:val="normal-h"/>
          <w:rFonts w:cs="David"/>
          <w:rtl w:val="true"/>
        </w:rPr>
        <w:t>הנאש</w:t>
      </w:r>
      <w:r>
        <w:rPr>
          <w:rStyle w:val="normal-h"/>
          <w:rFonts w:cs="David"/>
          <w:rtl w:val="true"/>
        </w:rPr>
        <w:t>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הודאתו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בביצוע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עבירה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מעשה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פזיזות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ורשלנות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rtl w:val="true"/>
        </w:rPr>
        <w:t>לפי</w:t>
      </w:r>
      <w:r>
        <w:rPr>
          <w:rStyle w:val="normal-h"/>
          <w:rtl w:val="true"/>
        </w:rPr>
        <w:t xml:space="preserve"> </w:t>
      </w:r>
      <w:hyperlink r:id="rId7">
        <w:r>
          <w:rPr>
            <w:rStyle w:val="Hyperlink"/>
            <w:rFonts w:cs="David"/>
            <w:color w:val="0000FF"/>
            <w:u w:val="single"/>
            <w:rtl w:val="true"/>
          </w:rPr>
          <w:t>סעיף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</w:rPr>
          <w:t>338</w:t>
        </w:r>
        <w:r>
          <w:rPr>
            <w:rStyle w:val="Hyperlink"/>
            <w:rFonts w:cs="David"/>
            <w:color w:val="0000FF"/>
            <w:u w:val="single"/>
            <w:rtl w:val="true"/>
          </w:rPr>
          <w:t>(</w:t>
        </w:r>
        <w:r>
          <w:rPr>
            <w:rStyle w:val="Hyperlink"/>
            <w:rFonts w:cs="David"/>
            <w:color w:val="0000FF"/>
            <w:u w:val="single"/>
          </w:rPr>
          <w:t>1</w:t>
        </w:r>
        <w:r>
          <w:rPr>
            <w:rStyle w:val="Hyperlink"/>
            <w:rFonts w:cs="David"/>
            <w:color w:val="0000FF"/>
            <w:u w:val="single"/>
            <w:rtl w:val="true"/>
          </w:rPr>
          <w:t>)</w:t>
        </w:r>
      </w:hyperlink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ל</w:t>
      </w:r>
      <w:hyperlink r:id="rId8">
        <w:r>
          <w:rPr>
            <w:rStyle w:val="Hyperlink"/>
            <w:rFonts w:cs="David"/>
            <w:color w:val="0000FF"/>
            <w:u w:val="single"/>
            <w:rtl w:val="true"/>
          </w:rPr>
          <w:t>חוק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  <w:r>
          <w:rPr>
            <w:rStyle w:val="Hyperlink"/>
            <w:rFonts w:cs="David"/>
            <w:color w:val="0000FF"/>
            <w:u w:val="single"/>
            <w:rtl w:val="true"/>
          </w:rPr>
          <w:t>העונשין</w:t>
        </w:r>
      </w:hyperlink>
      <w:r>
        <w:rPr>
          <w:rStyle w:val="normal-h"/>
          <w:rFonts w:cs="David"/>
          <w:rtl w:val="true"/>
        </w:rPr>
        <w:t>,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התשל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ז</w:t>
      </w:r>
      <w:r>
        <w:rPr>
          <w:rStyle w:val="normal-h"/>
          <w:rFonts w:cs="David"/>
          <w:rtl w:val="true"/>
        </w:rPr>
        <w:t xml:space="preserve">- </w:t>
      </w:r>
      <w:r>
        <w:rPr>
          <w:rStyle w:val="normal-h"/>
          <w:rFonts w:cs="David"/>
        </w:rPr>
        <w:t>1977</w:t>
      </w:r>
      <w:r>
        <w:rPr>
          <w:rStyle w:val="normal-h"/>
          <w:rFonts w:cs="David"/>
          <w:rtl w:val="true"/>
        </w:rPr>
        <w:t xml:space="preserve"> (</w:t>
      </w:r>
      <w:r>
        <w:rPr>
          <w:rStyle w:val="normal-h"/>
          <w:rFonts w:cs="David"/>
          <w:rtl w:val="true"/>
        </w:rPr>
        <w:t>להלן</w:t>
      </w:r>
      <w:r>
        <w:rPr>
          <w:rStyle w:val="normal-h"/>
          <w:rFonts w:cs="David"/>
          <w:rtl w:val="true"/>
        </w:rPr>
        <w:t>: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b/>
          <w:b/>
          <w:bCs/>
          <w:rtl w:val="true"/>
        </w:rPr>
        <w:t>חוק</w:t>
      </w:r>
      <w:r>
        <w:rPr>
          <w:rStyle w:val="normal-h"/>
          <w:b/>
          <w:b/>
          <w:bCs/>
          <w:rtl w:val="true"/>
        </w:rPr>
        <w:t xml:space="preserve"> </w:t>
      </w:r>
      <w:r>
        <w:rPr>
          <w:rStyle w:val="normal-h"/>
          <w:rFonts w:cs="David"/>
          <w:b/>
          <w:b/>
          <w:bCs/>
          <w:rtl w:val="true"/>
        </w:rPr>
        <w:t>העונשין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 xml:space="preserve">). </w:t>
      </w:r>
      <w:bookmarkStart w:id="11" w:name="ABSTRACT_END"/>
      <w:bookmarkEnd w:id="11"/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בליל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16/06/13</w:t>
      </w:r>
      <w:r>
        <w:rPr>
          <w:rStyle w:val="normal-h"/>
          <w:rFonts w:cs="David"/>
          <w:rtl w:val="true"/>
        </w:rPr>
        <w:t xml:space="preserve"> </w:t>
      </w:r>
      <w:r>
        <w:rPr>
          <w:rStyle w:val="normal-h"/>
          <w:rFonts w:cs="David"/>
          <w:rtl w:val="true"/>
        </w:rPr>
        <w:t>ביצעה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ישראל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פעילות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בועיינה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נוגידאת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בפעילות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השתתפו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אבישי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וחסיין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עמאר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שהשתמשו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משטרתי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לוחית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רישוי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צהובה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במהלך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הפעילות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קיבל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דיווח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נראה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רכב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טנדר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בנסיבות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חשודות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bidi w:val="1"/>
        <w:spacing w:lineRule="auto" w:line="360" w:before="0" w:after="0"/>
        <w:ind w:end="0"/>
        <w:jc w:val="both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הצוות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פתח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במעקב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אחר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הטנדר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היציאה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לעיל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לכביש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65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בהגיע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הטנדר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לצומת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גולני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כרזו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והבהבו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השוטרים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שהשתמשו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גם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בסירנות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בטנדר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הגביר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נסיעתו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סטה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שמאלה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וימינה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זאת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נמהרת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לגרום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חבלה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בטנדר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הכניסה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המזרחית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טורעאן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בתוככי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הכפר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נהג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נמהרת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לסכן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חיי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אדם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עד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שנעצר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המשטרה</w:t>
      </w:r>
      <w:r>
        <w:rPr>
          <w:rStyle w:val="normal-h"/>
          <w:rFonts w:cs="David"/>
          <w:rtl w:val="true"/>
        </w:rPr>
        <w:t>.</w:t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  <w:b/>
          <w:bCs/>
          <w:u w:val="single"/>
        </w:rPr>
      </w:pPr>
      <w:r>
        <w:rPr>
          <w:rtl w:val="true"/>
        </w:rPr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הסדר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טיעון</w:t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הגיעו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להסדר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טיעון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לפיו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יחזור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מכפירתו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יוגש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כתב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אישום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מתוקן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יודה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ויורשע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ויופנה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לקבלת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תסקיר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יהא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כדי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לחייב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הצדדים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תסקיר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שירות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המבחן</w:t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</w:rPr>
      </w:pPr>
      <w:r>
        <w:rPr>
          <w:rStyle w:val="normal-h"/>
          <w:rFonts w:cs="David"/>
          <w:rtl w:val="true"/>
        </w:rPr>
        <w:t>מתסקיר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עולה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כבן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</w:rPr>
        <w:t>25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רווק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מתגורר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בפוריה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הביע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גילה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תובנה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לאופי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הבעייתי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והחמור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הטמון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והקושי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בזמנו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בהפגנת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שיקול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דעת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בוגר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ואחראי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התרשם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מבחור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צעיר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יכולות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וורבאליות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ואינטלקטואליות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טובות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איננו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מאפיינים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אנטיסוציאליים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באישיותו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ניכר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כיום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מתבונן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בהתנהגותו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בצורה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ביקורתית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וכן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חש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חרטה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בחירותיו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הנאשם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ביטא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נכונות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להשתלבות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במערך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הטיפולי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השירות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מעריך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כי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השתלבות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בטיפול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עשויה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להוביל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להפחתת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הסיכון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הישנות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התנהגות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עוברת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חוק</w:t>
      </w:r>
      <w:r>
        <w:rPr>
          <w:rStyle w:val="normal-h"/>
          <w:rFonts w:cs="David"/>
          <w:rtl w:val="true"/>
        </w:rPr>
        <w:t xml:space="preserve">. </w:t>
      </w:r>
      <w:r>
        <w:rPr>
          <w:rStyle w:val="normal-h"/>
          <w:rFonts w:cs="David"/>
          <w:rtl w:val="true"/>
        </w:rPr>
        <w:t>שירות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המבחן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המליץ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העמדתו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בצו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מבחן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להימנע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מהטלת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מאסר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אשר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עלול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לחשוף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אותו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לאוכלוסייה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עבריינית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ולהשית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עליו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בדמות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של</w:t>
      </w:r>
      <w:r>
        <w:rPr>
          <w:rStyle w:val="normal-h"/>
          <w:rFonts w:cs="David"/>
          <w:rtl w:val="true"/>
        </w:rPr>
        <w:t>"</w:t>
      </w:r>
      <w:r>
        <w:rPr>
          <w:rStyle w:val="normal-h"/>
          <w:rFonts w:cs="David"/>
          <w:rtl w:val="true"/>
        </w:rPr>
        <w:t>צ</w:t>
      </w:r>
      <w:r>
        <w:rPr>
          <w:rStyle w:val="normal-h"/>
          <w:rFonts w:cs="David"/>
          <w:rtl w:val="true"/>
        </w:rPr>
        <w:t xml:space="preserve">, </w:t>
      </w:r>
      <w:r>
        <w:rPr>
          <w:rStyle w:val="normal-h"/>
          <w:rFonts w:cs="David"/>
          <w:rtl w:val="true"/>
        </w:rPr>
        <w:t>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הרתעתית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וענישה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כספית</w:t>
      </w:r>
      <w:r>
        <w:rPr>
          <w:rStyle w:val="normal-h"/>
          <w:rtl w:val="true"/>
        </w:rPr>
        <w:t xml:space="preserve"> </w:t>
      </w:r>
      <w:r>
        <w:rPr>
          <w:rStyle w:val="normal-h"/>
          <w:rFonts w:cs="David"/>
          <w:rtl w:val="true"/>
        </w:rPr>
        <w:t>מוחשית</w:t>
      </w:r>
      <w:r>
        <w:rPr>
          <w:rStyle w:val="normal-h"/>
          <w:rFonts w:cs="David"/>
          <w:rtl w:val="true"/>
        </w:rPr>
        <w:t xml:space="preserve">. </w:t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rFonts w:cs="David"/>
        </w:rPr>
      </w:pPr>
      <w:r>
        <w:rPr>
          <w:rtl w:val="true"/>
        </w:rPr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rStyle w:val="normal-h"/>
          <w:b/>
          <w:bCs/>
          <w:u w:val="single"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טי</w:t>
      </w:r>
      <w:r>
        <w:rPr>
          <w:rStyle w:val="normal-h"/>
          <w:rFonts w:cs="David"/>
          <w:b/>
          <w:b/>
          <w:bCs/>
          <w:u w:val="single"/>
          <w:rtl w:val="true"/>
        </w:rPr>
        <w:t>עונים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לעונש</w:t>
      </w:r>
      <w:r>
        <w:rPr>
          <w:rStyle w:val="normal-h"/>
          <w:rFonts w:cs="David"/>
          <w:b/>
          <w:bCs/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המאשימה טענה</w:t>
      </w:r>
      <w:r>
        <w:rPr>
          <w:rtl w:val="true"/>
        </w:rPr>
        <w:t xml:space="preserve">, </w:t>
      </w:r>
      <w:r>
        <w:rPr>
          <w:rtl w:val="true"/>
        </w:rPr>
        <w:t xml:space="preserve">כי </w:t>
      </w:r>
      <w:r>
        <w:rPr>
          <w:rtl w:val="true"/>
        </w:rPr>
        <w:t xml:space="preserve">הערך החברתי המוגן שנפגע </w:t>
      </w:r>
      <w:r>
        <w:rPr>
          <w:rtl w:val="true"/>
        </w:rPr>
        <w:t xml:space="preserve">ממעשיו של הנאשם הינו </w:t>
      </w:r>
      <w:r>
        <w:rPr>
          <w:rtl w:val="true"/>
        </w:rPr>
        <w:t>שמירה על שלום הציבור וביטחונם של המשתמשים בדרכי תחבורה</w:t>
      </w:r>
      <w:r>
        <w:rPr>
          <w:rtl w:val="true"/>
        </w:rPr>
        <w:t xml:space="preserve">, </w:t>
      </w:r>
      <w:r>
        <w:rPr>
          <w:rtl w:val="true"/>
        </w:rPr>
        <w:t>כמו גם שמירה על הסדר הציבורי</w:t>
      </w:r>
      <w:r>
        <w:rPr>
          <w:rtl w:val="true"/>
        </w:rPr>
        <w:t xml:space="preserve"> ושלטון החוק</w:t>
      </w:r>
      <w:r>
        <w:rPr>
          <w:rtl w:val="true"/>
        </w:rPr>
        <w:t xml:space="preserve">. </w:t>
      </w:r>
      <w:r>
        <w:rPr>
          <w:rtl w:val="true"/>
        </w:rPr>
        <w:t>אין להקל ראש ואין להשלים עם אותה התנהגות שביצע הנאשם</w:t>
      </w:r>
      <w:r>
        <w:rPr>
          <w:rtl w:val="true"/>
        </w:rPr>
        <w:t xml:space="preserve">, </w:t>
      </w:r>
      <w:r>
        <w:rPr>
          <w:rtl w:val="true"/>
        </w:rPr>
        <w:t>וזאת</w:t>
      </w:r>
      <w:r>
        <w:rPr>
          <w:rtl w:val="true"/>
        </w:rPr>
        <w:t xml:space="preserve"> כאשר שוטרים דולקים אחריו</w:t>
      </w:r>
      <w:r>
        <w:rPr>
          <w:rtl w:val="true"/>
        </w:rPr>
        <w:t>.</w:t>
      </w:r>
      <w:r>
        <w:rPr>
          <w:rtl w:val="true"/>
        </w:rPr>
        <w:t xml:space="preserve"> </w:t>
      </w:r>
      <w:r>
        <w:rPr>
          <w:rtl w:val="true"/>
        </w:rPr>
        <w:t>באשר</w:t>
      </w:r>
      <w:r>
        <w:rPr>
          <w:rtl w:val="true"/>
        </w:rPr>
        <w:t xml:space="preserve"> </w:t>
      </w:r>
      <w:r>
        <w:rPr>
          <w:rtl w:val="true"/>
        </w:rPr>
        <w:t>ל</w:t>
      </w:r>
      <w:r>
        <w:rPr>
          <w:rtl w:val="true"/>
        </w:rPr>
        <w:t xml:space="preserve">מדיניות הענישה קשת הענישה היא רחבה וכוללת רכיב מאסר בפועל ובנסיבות ביצוע </w:t>
      </w:r>
      <w:r>
        <w:rPr>
          <w:rtl w:val="true"/>
        </w:rPr>
        <w:t>ה</w:t>
      </w:r>
      <w:r>
        <w:rPr>
          <w:rtl w:val="true"/>
        </w:rPr>
        <w:t>עבירה בתיק זה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 xml:space="preserve">המתחם הינו בין </w:t>
      </w:r>
      <w:r>
        <w:rPr/>
        <w:t>6-18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. </w:t>
      </w:r>
      <w:r>
        <w:rPr>
          <w:rtl w:val="true"/>
        </w:rPr>
        <w:t xml:space="preserve">הנאשם נעדר עבר פלילי אך </w:t>
      </w:r>
      <w:r>
        <w:rPr>
          <w:rtl w:val="true"/>
        </w:rPr>
        <w:t>בעל</w:t>
      </w:r>
      <w:r>
        <w:rPr>
          <w:rtl w:val="true"/>
        </w:rPr>
        <w:t xml:space="preserve"> עבר תעבורתי שכולל </w:t>
      </w:r>
      <w:r>
        <w:rPr/>
        <w:t>22</w:t>
      </w:r>
      <w:r>
        <w:rPr>
          <w:rtl w:val="true"/>
        </w:rPr>
        <w:t xml:space="preserve"> </w:t>
      </w:r>
      <w:r>
        <w:rPr>
          <w:rtl w:val="true"/>
        </w:rPr>
        <w:t>עבירות תעבורה</w:t>
      </w:r>
      <w:r>
        <w:rPr>
          <w:rtl w:val="true"/>
        </w:rPr>
        <w:t xml:space="preserve">. </w:t>
      </w:r>
      <w:r>
        <w:rPr>
          <w:rtl w:val="true"/>
        </w:rPr>
        <w:t>ביקשה</w:t>
      </w:r>
      <w:r>
        <w:rPr>
          <w:rtl w:val="true"/>
        </w:rPr>
        <w:t xml:space="preserve"> להטיל על הנאשם עונש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</w:t>
      </w:r>
      <w:r>
        <w:rPr>
          <w:rtl w:val="true"/>
        </w:rPr>
        <w:t xml:space="preserve">, </w:t>
      </w:r>
      <w:r>
        <w:rPr>
          <w:rtl w:val="true"/>
        </w:rPr>
        <w:t>פסילה בפועל</w:t>
      </w:r>
      <w:r>
        <w:rPr>
          <w:rtl w:val="true"/>
        </w:rPr>
        <w:t xml:space="preserve">, </w:t>
      </w:r>
      <w:r>
        <w:rPr>
          <w:rtl w:val="true"/>
        </w:rPr>
        <w:t>פסילה על תנאי וקנס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u w:val="single"/>
          <w:rtl w:val="true"/>
        </w:rPr>
        <w:t>ב</w:t>
      </w:r>
      <w:r>
        <w:rPr>
          <w:u w:val="single"/>
          <w:rtl w:val="true"/>
        </w:rPr>
        <w:t>"</w:t>
      </w:r>
      <w:r>
        <w:rPr>
          <w:u w:val="single"/>
          <w:rtl w:val="true"/>
        </w:rPr>
        <w:t>כ הנאשם</w:t>
      </w:r>
      <w:r>
        <w:rPr>
          <w:rtl w:val="true"/>
        </w:rPr>
        <w:t xml:space="preserve"> טען</w:t>
      </w:r>
      <w:r>
        <w:rPr>
          <w:rtl w:val="true"/>
        </w:rPr>
        <w:t xml:space="preserve">, </w:t>
      </w:r>
      <w:r>
        <w:rPr>
          <w:rtl w:val="true"/>
        </w:rPr>
        <w:t>כי</w:t>
      </w:r>
      <w:r>
        <w:rPr>
          <w:rtl w:val="true"/>
        </w:rPr>
        <w:t xml:space="preserve"> מדובר ב</w:t>
      </w:r>
      <w:r>
        <w:rPr>
          <w:rtl w:val="true"/>
        </w:rPr>
        <w:t>צעיר</w:t>
      </w:r>
      <w:r>
        <w:rPr>
          <w:rtl w:val="true"/>
        </w:rPr>
        <w:t>,</w:t>
      </w:r>
      <w:r>
        <w:rPr>
          <w:rtl w:val="true"/>
        </w:rPr>
        <w:t xml:space="preserve"> </w:t>
      </w:r>
      <w:r>
        <w:rPr>
          <w:rtl w:val="true"/>
        </w:rPr>
        <w:t>מנהל חברה שמגלגלת מיליוני שקלים בשנה</w:t>
      </w:r>
      <w:r>
        <w:rPr>
          <w:rtl w:val="true"/>
        </w:rPr>
        <w:t xml:space="preserve">. </w:t>
      </w:r>
      <w:r>
        <w:rPr>
          <w:rtl w:val="true"/>
        </w:rPr>
        <w:t>לנאשם אין עבר פלילי</w:t>
      </w:r>
      <w:r>
        <w:rPr>
          <w:rtl w:val="true"/>
        </w:rPr>
        <w:t xml:space="preserve">, </w:t>
      </w:r>
      <w:r>
        <w:rPr>
          <w:rtl w:val="true"/>
        </w:rPr>
        <w:t>ה</w:t>
      </w:r>
      <w:r>
        <w:rPr>
          <w:rtl w:val="true"/>
        </w:rPr>
        <w:t xml:space="preserve">מדובר במעידה משנת </w:t>
      </w:r>
      <w:r>
        <w:rPr/>
        <w:t>2013</w:t>
      </w:r>
      <w:r>
        <w:rPr>
          <w:rtl w:val="true"/>
        </w:rPr>
        <w:t xml:space="preserve">, </w:t>
      </w:r>
      <w:r>
        <w:rPr>
          <w:rtl w:val="true"/>
        </w:rPr>
        <w:t>אין המדובר באדם בעל דפוס עברייני</w:t>
      </w:r>
      <w:r>
        <w:rPr>
          <w:rtl w:val="true"/>
        </w:rPr>
        <w:t xml:space="preserve">. </w:t>
      </w:r>
      <w:r>
        <w:rPr>
          <w:rtl w:val="true"/>
        </w:rPr>
        <w:t>באותה תקופה בכפר טורעאן היו בחירות כאשר שניים מהמתמודדים לרשות המועצה היו מאותה משפחה מורחבת</w:t>
      </w:r>
      <w:r>
        <w:rPr>
          <w:rtl w:val="true"/>
        </w:rPr>
        <w:t xml:space="preserve">, </w:t>
      </w:r>
      <w:r>
        <w:rPr>
          <w:rtl w:val="true"/>
        </w:rPr>
        <w:t xml:space="preserve">דבר אשר יצר הרבה יריבות </w:t>
      </w:r>
      <w:r>
        <w:rPr>
          <w:rtl w:val="true"/>
        </w:rPr>
        <w:t>והמשפחה</w:t>
      </w:r>
      <w:r>
        <w:rPr>
          <w:rtl w:val="true"/>
        </w:rPr>
        <w:t xml:space="preserve"> מצאה את עצמה בסערה </w:t>
      </w:r>
      <w:r>
        <w:rPr>
          <w:rtl w:val="true"/>
        </w:rPr>
        <w:t>וחששו לחייהם</w:t>
      </w:r>
      <w:r>
        <w:rPr>
          <w:rtl w:val="true"/>
        </w:rPr>
        <w:t xml:space="preserve">. </w:t>
      </w:r>
      <w:r>
        <w:rPr>
          <w:rtl w:val="true"/>
        </w:rPr>
        <w:t>אכן ה</w:t>
      </w:r>
      <w:r>
        <w:rPr>
          <w:rtl w:val="true"/>
        </w:rPr>
        <w:t xml:space="preserve">נאשם </w:t>
      </w:r>
      <w:r>
        <w:rPr>
          <w:rtl w:val="true"/>
        </w:rPr>
        <w:t>נהג באופן מסוכן</w:t>
      </w:r>
      <w:r>
        <w:rPr>
          <w:rtl w:val="true"/>
        </w:rPr>
        <w:t xml:space="preserve">, </w:t>
      </w:r>
      <w:r>
        <w:rPr>
          <w:rtl w:val="true"/>
        </w:rPr>
        <w:t>אולם לא ידוע באיזו מהירות נסע</w:t>
      </w:r>
      <w:r>
        <w:rPr>
          <w:rtl w:val="true"/>
        </w:rPr>
        <w:t xml:space="preserve">. </w:t>
      </w:r>
      <w:r>
        <w:rPr>
          <w:rtl w:val="true"/>
        </w:rPr>
        <w:t>מדובר בעבירת תנועה</w:t>
      </w:r>
      <w:r>
        <w:rPr>
          <w:rtl w:val="true"/>
        </w:rPr>
        <w:t xml:space="preserve">. </w:t>
      </w:r>
      <w:r>
        <w:rPr>
          <w:rtl w:val="true"/>
        </w:rPr>
        <w:t>ביקש ל</w:t>
      </w:r>
      <w:r>
        <w:rPr>
          <w:rtl w:val="true"/>
        </w:rPr>
        <w:t>אמץ את המלצות שירות המבחן</w:t>
      </w:r>
      <w:r>
        <w:rPr>
          <w:rtl w:val="true"/>
        </w:rPr>
        <w:t xml:space="preserve"> ולהטיל על </w:t>
      </w:r>
      <w:r>
        <w:rPr>
          <w:rtl w:val="true"/>
        </w:rPr>
        <w:t xml:space="preserve">הנאשם מאסר על תנאי </w:t>
      </w:r>
      <w:r>
        <w:rPr>
          <w:rtl w:val="true"/>
        </w:rPr>
        <w:t>ו</w:t>
      </w:r>
      <w:r>
        <w:rPr>
          <w:rtl w:val="true"/>
        </w:rPr>
        <w:t>קנס סמלי</w:t>
      </w:r>
      <w:r>
        <w:rPr>
          <w:rtl w:val="true"/>
        </w:rPr>
        <w:t>.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0"/>
        </w:numPr>
        <w:spacing w:lineRule="auto" w:line="360"/>
        <w:ind w:hanging="0" w:start="0" w:end="0"/>
        <w:jc w:val="both"/>
        <w:outlineLvl w:val="0"/>
        <w:rPr>
          <w:u w:val="single"/>
        </w:rPr>
      </w:pPr>
      <w:r>
        <w:rPr>
          <w:b/>
          <w:b/>
          <w:bCs/>
          <w:u w:val="single"/>
          <w:rtl w:val="true"/>
        </w:rPr>
        <w:t>דיון ומסקנות</w:t>
      </w:r>
      <w:r>
        <w:rPr>
          <w:u w:val="single"/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בהתחשב בעקרון ההלימה</w:t>
      </w:r>
      <w:r>
        <w:rPr>
          <w:rtl w:val="true"/>
        </w:rPr>
        <w:t xml:space="preserve">, </w:t>
      </w:r>
      <w:r>
        <w:rPr>
          <w:rtl w:val="true"/>
        </w:rPr>
        <w:t>יש לבחון קיומו של יחס הולם בין חומרת מעשה העבירה</w:t>
      </w:r>
      <w:r>
        <w:rPr>
          <w:rtl w:val="true"/>
        </w:rPr>
        <w:t xml:space="preserve">, </w:t>
      </w:r>
      <w:r>
        <w:rPr>
          <w:rtl w:val="true"/>
        </w:rPr>
        <w:t>בנסיבותיו ובמידת אשמו של הנאשם ובין סוג ומידת העונש המוטל עליו</w:t>
      </w:r>
      <w:r>
        <w:rPr>
          <w:rtl w:val="true"/>
        </w:rPr>
        <w:t>.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בעת קביעת מתחם העונש ההולם</w:t>
      </w:r>
      <w:r>
        <w:rPr>
          <w:rtl w:val="true"/>
        </w:rPr>
        <w:t xml:space="preserve">, </w:t>
      </w:r>
      <w:r>
        <w:rPr>
          <w:rtl w:val="true"/>
        </w:rPr>
        <w:t>יש לבדוק את הערך החברתי שנפגע כתוצאה מהעבירה</w:t>
      </w:r>
      <w:r>
        <w:rPr>
          <w:rtl w:val="true"/>
        </w:rPr>
        <w:t xml:space="preserve">, </w:t>
      </w:r>
      <w:r>
        <w:rPr>
          <w:rtl w:val="true"/>
        </w:rPr>
        <w:t>את מדיניות הענישה הנהוגה ואת הנסיבות הקשורות בביצוע העבירה</w:t>
      </w:r>
      <w:r>
        <w:rPr>
          <w:rtl w:val="true"/>
        </w:rPr>
        <w:t xml:space="preserve">.   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20" w:end="0"/>
        <w:jc w:val="both"/>
        <w:rPr/>
      </w:pPr>
      <w:r>
        <w:rPr>
          <w:b/>
          <w:b/>
          <w:bCs/>
          <w:u w:val="single"/>
          <w:rtl w:val="true"/>
        </w:rPr>
        <w:t>הערך החברתי שנפגע ומידת הפגיעה בו</w:t>
      </w:r>
      <w:r>
        <w:rPr>
          <w:rtl w:val="true"/>
        </w:rPr>
        <w:t xml:space="preserve">- </w:t>
      </w:r>
      <w:r>
        <w:rPr>
          <w:rtl w:val="true"/>
        </w:rPr>
        <w:t>הנאשם פגע במעשיו בערכים חשובים של שמירה על שלומם וביטחונם של המשתמשים בדרך</w:t>
      </w:r>
      <w:r>
        <w:rPr>
          <w:rtl w:val="true"/>
        </w:rPr>
        <w:t xml:space="preserve">, </w:t>
      </w:r>
      <w:r>
        <w:rPr>
          <w:rtl w:val="true"/>
        </w:rPr>
        <w:t>שלטון החוק וכיבוד רשויות האכיפה</w:t>
      </w:r>
      <w:r>
        <w:rPr>
          <w:rtl w:val="true"/>
        </w:rPr>
        <w:t xml:space="preserve">. </w:t>
      </w:r>
      <w:r>
        <w:rPr>
          <w:rtl w:val="true"/>
        </w:rPr>
        <w:t>הנאשם נהג בדרך נמהרת שיש בה כדי לסכן חיי אדם או לגרום לו חבלה</w:t>
      </w:r>
      <w:r>
        <w:rPr>
          <w:rtl w:val="true"/>
        </w:rPr>
        <w:t xml:space="preserve">. </w:t>
      </w:r>
      <w:r>
        <w:rPr>
          <w:rtl w:val="true"/>
        </w:rPr>
        <w:t>מבלי להקל ראש במעשיו כאמור סבורני</w:t>
      </w:r>
      <w:r>
        <w:rPr>
          <w:rtl w:val="true"/>
        </w:rPr>
        <w:t xml:space="preserve">, </w:t>
      </w:r>
      <w:r>
        <w:rPr>
          <w:rtl w:val="true"/>
        </w:rPr>
        <w:t>כי מידת הפגיעה בערכים אלה לא נמצאת ברף הגבוה</w:t>
      </w:r>
      <w:r>
        <w:rPr>
          <w:rtl w:val="true"/>
        </w:rPr>
        <w:t>.</w:t>
      </w:r>
    </w:p>
    <w:p>
      <w:pPr>
        <w:pStyle w:val="Normal"/>
        <w:spacing w:lineRule="auto" w:line="360"/>
        <w:ind w:start="20"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20" w:end="0"/>
        <w:jc w:val="both"/>
        <w:rPr/>
      </w:pPr>
      <w:r>
        <w:rPr>
          <w:b/>
          <w:b/>
          <w:bCs/>
          <w:sz w:val="20"/>
          <w:sz w:val="20"/>
          <w:u w:val="single"/>
          <w:rtl w:val="true"/>
        </w:rPr>
        <w:t>מדיניות הענישה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 xml:space="preserve">- </w:t>
      </w:r>
      <w:r>
        <w:rPr>
          <w:sz w:val="20"/>
          <w:sz w:val="20"/>
          <w:rtl w:val="true"/>
        </w:rPr>
        <w:t>בחינת מדיניות הענישה הנוהגת מעלה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 קשת הענישה בעבירה זו הינה רחבה   ותלויה בנסיבות המקרה ובעבירות הנוספות שהתווספו לעבירה העיקרית</w:t>
      </w:r>
      <w:r>
        <w:rPr>
          <w:sz w:val="20"/>
          <w:rtl w:val="true"/>
        </w:rPr>
        <w:t xml:space="preserve">.  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9">
        <w:r>
          <w:rPr>
            <w:rStyle w:val="Hyperlink"/>
            <w:color w:val="0000FF"/>
            <w:sz w:val="20"/>
            <w:sz w:val="20"/>
            <w:u w:val="single"/>
            <w:rtl w:val="true"/>
          </w:rPr>
          <w:t>ת</w:t>
        </w:r>
        <w:r>
          <w:rPr>
            <w:rStyle w:val="Hyperlink"/>
            <w:color w:val="0000FF"/>
            <w:sz w:val="20"/>
            <w:u w:val="single"/>
            <w:rtl w:val="true"/>
          </w:rPr>
          <w:t>"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 xml:space="preserve">פ </w:t>
        </w:r>
        <w:r>
          <w:rPr>
            <w:rStyle w:val="Hyperlink"/>
            <w:color w:val="0000FF"/>
            <w:sz w:val="20"/>
            <w:u w:val="single"/>
            <w:rtl w:val="true"/>
          </w:rPr>
          <w:t>(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י</w:t>
        </w:r>
        <w:r>
          <w:rPr>
            <w:rStyle w:val="Hyperlink"/>
            <w:color w:val="0000FF"/>
            <w:sz w:val="20"/>
            <w:u w:val="single"/>
            <w:rtl w:val="true"/>
          </w:rPr>
          <w:t>-</w:t>
        </w:r>
        <w:r>
          <w:rPr>
            <w:rStyle w:val="Hyperlink"/>
            <w:color w:val="0000FF"/>
            <w:sz w:val="20"/>
            <w:sz w:val="20"/>
            <w:u w:val="single"/>
            <w:rtl w:val="true"/>
          </w:rPr>
          <w:t>ם</w:t>
        </w:r>
        <w:r>
          <w:rPr>
            <w:rStyle w:val="Hyperlink"/>
            <w:color w:val="0000FF"/>
            <w:sz w:val="20"/>
            <w:u w:val="single"/>
            <w:rtl w:val="true"/>
          </w:rPr>
          <w:t xml:space="preserve">) </w:t>
        </w:r>
        <w:r>
          <w:rPr>
            <w:rStyle w:val="Hyperlink"/>
            <w:color w:val="0000FF"/>
            <w:sz w:val="20"/>
            <w:u w:val="single"/>
          </w:rPr>
          <w:t>14534-06-13</w:t>
        </w:r>
      </w:hyperlink>
      <w:r>
        <w:rPr>
          <w:sz w:val="20"/>
          <w:rtl w:val="true"/>
        </w:rPr>
        <w:t xml:space="preserve"> </w:t>
      </w:r>
      <w:r>
        <w:rPr>
          <w:b/>
          <w:b/>
          <w:bCs/>
          <w:sz w:val="20"/>
          <w:sz w:val="20"/>
          <w:rtl w:val="true"/>
        </w:rPr>
        <w:t>מדינת ישראל נ</w:t>
      </w:r>
      <w:r>
        <w:rPr>
          <w:b/>
          <w:bCs/>
          <w:sz w:val="20"/>
          <w:rtl w:val="true"/>
        </w:rPr>
        <w:t xml:space="preserve">' </w:t>
      </w:r>
      <w:r>
        <w:rPr>
          <w:b/>
          <w:b/>
          <w:bCs/>
          <w:sz w:val="20"/>
          <w:sz w:val="20"/>
          <w:rtl w:val="true"/>
        </w:rPr>
        <w:t>מחמוד מדבוח</w:t>
      </w:r>
      <w:r>
        <w:rPr>
          <w:sz w:val="20"/>
          <w:sz w:val="20"/>
          <w:rtl w:val="true"/>
        </w:rPr>
        <w:t xml:space="preserve"> </w:t>
      </w:r>
      <w:r>
        <w:rPr>
          <w:sz w:val="20"/>
          <w:rtl w:val="true"/>
        </w:rPr>
        <w:t>(</w:t>
      </w:r>
      <w:r>
        <w:rPr>
          <w:sz w:val="20"/>
          <w:sz w:val="20"/>
          <w:rtl w:val="true"/>
        </w:rPr>
        <w:t xml:space="preserve">ניתן ביום </w:t>
      </w:r>
      <w:r>
        <w:rPr>
          <w:sz w:val="20"/>
        </w:rPr>
        <w:t>18/2/15</w:t>
      </w:r>
      <w:r>
        <w:rPr>
          <w:sz w:val="20"/>
          <w:rtl w:val="true"/>
        </w:rPr>
        <w:t xml:space="preserve">) </w:t>
      </w:r>
      <w:r>
        <w:rPr>
          <w:sz w:val="20"/>
          <w:rtl w:val="true"/>
        </w:rPr>
        <w:t>–</w:t>
      </w:r>
      <w:r>
        <w:rPr>
          <w:rtl w:val="true"/>
        </w:rPr>
        <w:t>עבירה של מעשה פזיזות ורשלנות ובנהיגת רכב ללא רישיון</w:t>
      </w:r>
      <w:r>
        <w:rPr>
          <w:rtl w:val="true"/>
        </w:rPr>
        <w:t xml:space="preserve">. </w:t>
      </w:r>
      <w:r>
        <w:rPr>
          <w:rtl w:val="true"/>
        </w:rPr>
        <w:t>בית המשפט המחוזי קבע</w:t>
      </w:r>
      <w:r>
        <w:rPr>
          <w:rtl w:val="true"/>
        </w:rPr>
        <w:t xml:space="preserve">, </w:t>
      </w:r>
      <w:r>
        <w:rPr>
          <w:rtl w:val="true"/>
        </w:rPr>
        <w:t xml:space="preserve">כי מתחם הענישה ההולם בנסיבות המקרה דנא נע בין מאסר בעבודות שירות לבין שנת מאסר בפועל וגזר עליו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עבודות שירות</w:t>
      </w:r>
      <w:r>
        <w:rPr>
          <w:rtl w:val="true"/>
        </w:rPr>
        <w:t xml:space="preserve">, </w:t>
      </w:r>
      <w:r>
        <w:rPr>
          <w:rtl w:val="true"/>
        </w:rPr>
        <w:t xml:space="preserve">מאסר על תנאי ופסילת רישיון למשך </w:t>
      </w:r>
      <w:r>
        <w:rPr/>
        <w:t>15</w:t>
      </w:r>
      <w:r>
        <w:rPr>
          <w:rtl w:val="true"/>
        </w:rPr>
        <w:t xml:space="preserve"> </w:t>
      </w:r>
      <w:r>
        <w:rPr>
          <w:rtl w:val="true"/>
        </w:rPr>
        <w:t>חודשים</w:t>
      </w:r>
      <w:r>
        <w:rPr>
          <w:rtl w:val="true"/>
        </w:rPr>
        <w:t xml:space="preserve">. </w:t>
      </w:r>
      <w:r>
        <w:rPr>
          <w:rtl w:val="true"/>
        </w:rPr>
        <w:t>המדובר בצעיר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, </w:t>
      </w:r>
      <w:r>
        <w:rPr>
          <w:rtl w:val="true"/>
        </w:rPr>
        <w:t>אשר לא החזיק ברישיון נהיגה ומעולם לא עמד במבחני הרישוי</w:t>
      </w:r>
      <w:r>
        <w:rPr>
          <w:rtl w:val="true"/>
        </w:rPr>
        <w:t>.</w:t>
      </w:r>
    </w:p>
    <w:p>
      <w:pPr>
        <w:pStyle w:val="Normal"/>
        <w:snapToGrid w:val="false"/>
        <w:spacing w:lineRule="auto" w:line="360"/>
        <w:ind w:start="417" w:end="0"/>
        <w:jc w:val="both"/>
        <w:rPr/>
      </w:pPr>
      <w:r>
        <w:rPr>
          <w:rtl w:val="true"/>
        </w:rPr>
        <w:t xml:space="preserve">ראה בעניין זה גם </w:t>
      </w:r>
      <w:hyperlink r:id="rId10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49795-05-12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מחמד שעאבנה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1/12/13</w:t>
      </w:r>
      <w:r>
        <w:rPr>
          <w:rtl w:val="true"/>
        </w:rPr>
        <w:t xml:space="preserve">). </w:t>
      </w:r>
    </w:p>
    <w:p>
      <w:pPr>
        <w:pStyle w:val="Normal"/>
        <w:snapToGrid w:val="false"/>
        <w:spacing w:lineRule="auto" w:line="360"/>
        <w:ind w:start="417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>המאשימה צירפה מטעמה את הפסיקה הבאה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 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1">
        <w:r>
          <w:rPr>
            <w:rStyle w:val="Hyperlink"/>
            <w:color w:val="0000FF"/>
            <w:u w:val="single"/>
            <w:rtl w:val="true"/>
          </w:rPr>
          <w:t>ע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8704/08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סמי הייב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מדינת ישראל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23/4/09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>עבירות של הכשלת 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>תקיפת שוטר</w:t>
      </w:r>
      <w:r>
        <w:rPr>
          <w:rtl w:val="true"/>
        </w:rPr>
        <w:t xml:space="preserve">, </w:t>
      </w:r>
      <w:r>
        <w:rPr>
          <w:rtl w:val="true"/>
        </w:rPr>
        <w:t>אי ציות להוראת שוטר</w:t>
      </w:r>
      <w:r>
        <w:rPr>
          <w:rtl w:val="true"/>
        </w:rPr>
        <w:t xml:space="preserve">, </w:t>
      </w:r>
      <w:r>
        <w:rPr>
          <w:rtl w:val="true"/>
        </w:rPr>
        <w:t>איומים ומעשה פזיזות ורשלנות ברכב</w:t>
      </w:r>
      <w:r>
        <w:rPr>
          <w:rtl w:val="true"/>
        </w:rPr>
        <w:t xml:space="preserve">. </w:t>
      </w:r>
      <w:r>
        <w:rPr>
          <w:rtl w:val="true"/>
        </w:rPr>
        <w:t>בית המשפט העליון אישר</w:t>
      </w:r>
      <w:r>
        <w:rPr>
          <w:rtl w:val="true"/>
        </w:rPr>
        <w:t xml:space="preserve"> את העונש שהושת על המערער על ידי בית המשפט המחוזי </w:t>
      </w:r>
      <w:r>
        <w:rPr>
          <w:rtl w:val="true"/>
        </w:rPr>
        <w:t xml:space="preserve">- </w:t>
      </w:r>
      <w:r>
        <w:rPr/>
        <w:t>12</w:t>
      </w:r>
      <w:r>
        <w:rPr>
          <w:rtl w:val="true"/>
        </w:rPr>
        <w:t xml:space="preserve"> </w:t>
      </w:r>
      <w:r>
        <w:rPr>
          <w:rtl w:val="true"/>
        </w:rPr>
        <w:t>חודשי</w:t>
      </w:r>
      <w:r>
        <w:rPr>
          <w:rtl w:val="true"/>
        </w:rPr>
        <w:t xml:space="preserve"> מאסר בפועל</w:t>
      </w:r>
      <w:r>
        <w:rPr>
          <w:rtl w:val="true"/>
        </w:rPr>
        <w:t xml:space="preserve">, </w:t>
      </w:r>
      <w:r>
        <w:rPr>
          <w:rtl w:val="true"/>
        </w:rPr>
        <w:t>פסילה בפועל ופסילה על תנאי</w:t>
      </w:r>
      <w:r>
        <w:rPr>
          <w:rtl w:val="true"/>
        </w:rPr>
        <w:t xml:space="preserve">. </w:t>
      </w:r>
      <w:r>
        <w:rPr>
          <w:rtl w:val="true"/>
        </w:rPr>
        <w:t>המערער הינו בעל עבר תעבורתי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2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42744-02-12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סאבר אבראהים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10/7/13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>עבירות של מעשי פזיזות ורשלנות</w:t>
      </w:r>
      <w:r>
        <w:rPr>
          <w:rtl w:val="true"/>
        </w:rPr>
        <w:t xml:space="preserve">, </w:t>
      </w:r>
      <w:r>
        <w:rPr>
          <w:rtl w:val="true"/>
        </w:rPr>
        <w:t>נהיגה בפסילה</w:t>
      </w:r>
      <w:r>
        <w:rPr>
          <w:rtl w:val="true"/>
        </w:rPr>
        <w:t xml:space="preserve">, </w:t>
      </w:r>
      <w:r>
        <w:rPr>
          <w:rtl w:val="true"/>
        </w:rPr>
        <w:t>סטיה מנתיב</w:t>
      </w:r>
      <w:r>
        <w:rPr>
          <w:rtl w:val="true"/>
        </w:rPr>
        <w:t xml:space="preserve">, </w:t>
      </w:r>
      <w:r>
        <w:rPr>
          <w:rtl w:val="true"/>
        </w:rPr>
        <w:t>עקיפה כשהדרך לא פנויה</w:t>
      </w:r>
      <w:r>
        <w:rPr>
          <w:rtl w:val="true"/>
        </w:rPr>
        <w:t xml:space="preserve">, </w:t>
      </w:r>
      <w:r>
        <w:rPr>
          <w:rtl w:val="true"/>
        </w:rPr>
        <w:t>עקיפה תוך קו הפרדה רצוף והפרעה לשוטר במילוי תפקידו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מתחם העונש ההולם נע בין </w:t>
      </w:r>
      <w:r>
        <w:rPr/>
        <w:t>6-24</w:t>
      </w:r>
      <w:r>
        <w:rPr>
          <w:rtl w:val="true"/>
        </w:rPr>
        <w:t xml:space="preserve"> </w:t>
      </w:r>
      <w:r>
        <w:rPr>
          <w:rtl w:val="true"/>
        </w:rPr>
        <w:t xml:space="preserve">חודשי מאסר בפועל וגזר עליו </w:t>
      </w:r>
      <w:r>
        <w:rPr/>
        <w:t>14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מאסר על תנאי ופסילה</w:t>
      </w:r>
      <w:r>
        <w:rPr>
          <w:rtl w:val="true"/>
        </w:rPr>
        <w:t xml:space="preserve">. </w:t>
      </w:r>
      <w:r>
        <w:rPr>
          <w:rtl w:val="true"/>
        </w:rPr>
        <w:t>לחובת הנאשם עבר פלילי לרבות בתחום התעבורה</w:t>
      </w:r>
      <w:r>
        <w:rPr>
          <w:rtl w:val="true"/>
        </w:rPr>
        <w:t xml:space="preserve">. </w:t>
      </w:r>
      <w:r>
        <w:rPr>
          <w:rtl w:val="true"/>
        </w:rPr>
        <w:t>בעניין זה רק בדרך נס לא נגרם במהלך המרדף נזק לגוף או לרכוש</w:t>
      </w:r>
      <w:r>
        <w:rPr>
          <w:rtl w:val="true"/>
        </w:rPr>
        <w:t xml:space="preserve">. </w:t>
      </w:r>
      <w:r>
        <w:rPr>
          <w:rtl w:val="true"/>
        </w:rPr>
        <w:t xml:space="preserve">הנאשם הפגין בנהיגתו זלזול כלפי חיי אדם וכלפי רשויות החוק וכל זאת כשנהג במיניבוס בו שהו עמו באותה שעה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אנשים מלבדו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3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נצרת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36491-09-12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עומר הייב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3/3/13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>עבירות של הפרעה לשוטר במילוי תפקידו</w:t>
      </w:r>
      <w:r>
        <w:rPr>
          <w:rtl w:val="true"/>
        </w:rPr>
        <w:t xml:space="preserve">, </w:t>
      </w:r>
      <w:r>
        <w:rPr>
          <w:rtl w:val="true"/>
        </w:rPr>
        <w:t>נהיגה ללא רישיון תקף</w:t>
      </w:r>
      <w:r>
        <w:rPr>
          <w:rtl w:val="true"/>
        </w:rPr>
        <w:t xml:space="preserve">, </w:t>
      </w:r>
      <w:r>
        <w:rPr>
          <w:rtl w:val="true"/>
        </w:rPr>
        <w:t>מעשה פזיזות ורשלנות ואי מתן זכות קדימה</w:t>
      </w:r>
      <w:r>
        <w:rPr>
          <w:rtl w:val="true"/>
        </w:rPr>
        <w:t xml:space="preserve">. </w:t>
      </w:r>
      <w:r>
        <w:rPr>
          <w:rtl w:val="true"/>
        </w:rPr>
        <w:t>הנאשם נמלט מהשוטרים בדרך פרועה ומסוכנת</w:t>
      </w:r>
      <w:r>
        <w:rPr>
          <w:rtl w:val="true"/>
        </w:rPr>
        <w:t xml:space="preserve">, </w:t>
      </w:r>
      <w:r>
        <w:rPr>
          <w:rtl w:val="true"/>
        </w:rPr>
        <w:t>ביצע עבירות תנועה רבות</w:t>
      </w:r>
      <w:r>
        <w:rPr>
          <w:rtl w:val="true"/>
        </w:rPr>
        <w:t xml:space="preserve">. </w:t>
      </w:r>
      <w:r>
        <w:rPr>
          <w:rtl w:val="true"/>
        </w:rPr>
        <w:t>הוא נהג ברכב בתקופת פסילת רישיון ממושכת</w:t>
      </w:r>
      <w:r>
        <w:rPr>
          <w:rtl w:val="true"/>
        </w:rPr>
        <w:t xml:space="preserve">, </w:t>
      </w:r>
      <w:r>
        <w:rPr>
          <w:rtl w:val="true"/>
        </w:rPr>
        <w:t>נטש את הרכב ונמלט רגלית מזירת האירוע</w:t>
      </w:r>
      <w:r>
        <w:rPr>
          <w:rtl w:val="true"/>
        </w:rPr>
        <w:t xml:space="preserve">, </w:t>
      </w:r>
      <w:r>
        <w:rPr>
          <w:rtl w:val="true"/>
        </w:rPr>
        <w:t>ובמשך כשבועיים נמנע מלהתייצב לחקירה</w:t>
      </w:r>
      <w:r>
        <w:rPr>
          <w:rtl w:val="true"/>
        </w:rPr>
        <w:t xml:space="preserve">. </w:t>
      </w:r>
      <w:r>
        <w:rPr>
          <w:rtl w:val="true"/>
        </w:rPr>
        <w:t xml:space="preserve">בית המשפט המחוזי קבע כי מתחם הענישה ההולם במקרה דנא נע בין </w:t>
      </w:r>
      <w:r>
        <w:rPr/>
        <w:t>7-20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>
          <w:rtl w:val="true"/>
        </w:rPr>
        <w:t>בצירוף פסילת רישיון וקנס</w:t>
      </w:r>
      <w:r>
        <w:rPr>
          <w:rtl w:val="true"/>
        </w:rPr>
        <w:t xml:space="preserve">. </w:t>
      </w:r>
      <w:r>
        <w:rPr>
          <w:rtl w:val="true"/>
        </w:rPr>
        <w:t xml:space="preserve">נגזרו </w:t>
      </w:r>
      <w:r>
        <w:rPr/>
        <w:t>18</w:t>
      </w:r>
      <w:r>
        <w:rPr>
          <w:rtl w:val="true"/>
        </w:rPr>
        <w:t xml:space="preserve"> </w:t>
      </w:r>
      <w:r>
        <w:rPr>
          <w:rtl w:val="true"/>
        </w:rPr>
        <w:t>חודשי מאסר בפועל</w:t>
      </w:r>
      <w:r>
        <w:rPr>
          <w:rtl w:val="true"/>
        </w:rPr>
        <w:t xml:space="preserve">, </w:t>
      </w:r>
      <w:r>
        <w:rPr/>
        <w:t>10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פסילה בפועל</w:t>
      </w:r>
      <w:r>
        <w:rPr>
          <w:rtl w:val="true"/>
        </w:rPr>
        <w:t xml:space="preserve">, </w:t>
      </w:r>
      <w:r>
        <w:rPr>
          <w:rtl w:val="true"/>
        </w:rPr>
        <w:t>פסילה על תנאי וקנס</w:t>
      </w:r>
      <w:r>
        <w:rPr>
          <w:rtl w:val="true"/>
        </w:rPr>
        <w:t xml:space="preserve">. </w:t>
      </w:r>
      <w:r>
        <w:rPr>
          <w:rtl w:val="true"/>
        </w:rPr>
        <w:t>עבר פלילי מכביד וריצה בעברו מספר תקופות מאסר</w:t>
      </w:r>
      <w:r>
        <w:rPr>
          <w:rtl w:val="true"/>
        </w:rPr>
        <w:t xml:space="preserve">. </w:t>
      </w:r>
      <w:r>
        <w:rPr>
          <w:rtl w:val="true"/>
        </w:rPr>
        <w:t xml:space="preserve">כן לחובתו </w:t>
      </w:r>
      <w:r>
        <w:rPr/>
        <w:t>4</w:t>
      </w:r>
      <w:r>
        <w:rPr>
          <w:rtl w:val="true"/>
        </w:rPr>
        <w:t xml:space="preserve"> </w:t>
      </w:r>
      <w:r>
        <w:rPr>
          <w:rtl w:val="true"/>
        </w:rPr>
        <w:t>הרשעות תעבורה קודמות</w:t>
      </w:r>
      <w:r>
        <w:rPr>
          <w:rtl w:val="true"/>
        </w:rPr>
        <w:t xml:space="preserve">, </w:t>
      </w:r>
      <w:r>
        <w:rPr>
          <w:rtl w:val="true"/>
        </w:rPr>
        <w:t>רובן בגין נהיגה במהירות מופרזת</w:t>
      </w:r>
      <w:r>
        <w:rPr>
          <w:rtl w:val="true"/>
        </w:rPr>
        <w:t xml:space="preserve">, </w:t>
      </w:r>
      <w:r>
        <w:rPr>
          <w:rtl w:val="true"/>
        </w:rPr>
        <w:t>בגינן נפסל רישיונו לתקופות שונות</w:t>
      </w:r>
      <w:r>
        <w:rPr>
          <w:rtl w:val="true"/>
        </w:rPr>
        <w:t xml:space="preserve">. </w:t>
      </w:r>
      <w:r>
        <w:rPr>
          <w:rtl w:val="true"/>
        </w:rPr>
        <w:t>אף התסקיר שהתקבל בעניינו שלילי</w:t>
      </w:r>
      <w:r>
        <w:rPr>
          <w:rtl w:val="true"/>
        </w:rPr>
        <w:t>.</w:t>
      </w:r>
    </w:p>
    <w:p>
      <w:pPr>
        <w:pStyle w:val="Normal"/>
        <w:spacing w:lineRule="auto" w:line="360"/>
        <w:ind w:start="720" w:end="0"/>
        <w:jc w:val="both"/>
        <w:rPr/>
      </w:pPr>
      <w:r>
        <w:rPr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  <w:t xml:space="preserve">הסנגור אף הוא צירף מטעמו את גזרי הדין הבאים </w:t>
      </w:r>
      <w:r>
        <w:rPr>
          <w:rtl w:val="true"/>
        </w:rPr>
        <w:t>:</w:t>
      </w:r>
    </w:p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4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י</w:t>
        </w:r>
        <w:r>
          <w:rPr>
            <w:rStyle w:val="Hyperlink"/>
            <w:color w:val="0000FF"/>
            <w:u w:val="single"/>
            <w:rtl w:val="true"/>
          </w:rPr>
          <w:t>-</w:t>
        </w:r>
        <w:r>
          <w:rPr>
            <w:rStyle w:val="Hyperlink"/>
            <w:color w:val="0000FF"/>
            <w:u w:val="single"/>
            <w:rtl w:val="true"/>
          </w:rPr>
          <w:t>ם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3001/07</w:t>
        </w:r>
        <w:r>
          <w:rPr>
            <w:rStyle w:val="Hyperlink"/>
            <w:color w:val="0000FF"/>
            <w:u w:val="single"/>
            <w:rtl w:val="true"/>
          </w:rPr>
          <w:t xml:space="preserve"> 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תמיר גורי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5/9/07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עבירה של </w:t>
      </w:r>
      <w:r>
        <w:rPr>
          <w:rtl w:val="true"/>
        </w:rPr>
        <w:t>מעשה פזיזות ורשלנות</w:t>
      </w:r>
      <w:r>
        <w:rPr>
          <w:rtl w:val="true"/>
        </w:rPr>
        <w:t xml:space="preserve">, </w:t>
      </w:r>
      <w:r>
        <w:rPr>
          <w:rtl w:val="true"/>
        </w:rPr>
        <w:t>הפרעה לשוטר בשעת מילוי תפקידו</w:t>
      </w:r>
      <w:r>
        <w:rPr>
          <w:rtl w:val="true"/>
        </w:rPr>
        <w:t xml:space="preserve">, </w:t>
      </w:r>
      <w:r>
        <w:rPr>
          <w:rtl w:val="true"/>
        </w:rPr>
        <w:t>החזקת סכין שלא כדין</w:t>
      </w:r>
      <w:r>
        <w:rPr>
          <w:rtl w:val="true"/>
        </w:rPr>
        <w:t xml:space="preserve">, </w:t>
      </w:r>
      <w:r>
        <w:rPr>
          <w:rtl w:val="true"/>
        </w:rPr>
        <w:t>החזקת סם מסוכן לשימוש עצמי</w:t>
      </w:r>
      <w:r>
        <w:rPr>
          <w:rtl w:val="true"/>
        </w:rPr>
        <w:t xml:space="preserve">. </w:t>
      </w:r>
      <w:r>
        <w:rPr>
          <w:rtl w:val="true"/>
        </w:rPr>
        <w:t>נפגעו רגליו של אחד השוטרים</w:t>
      </w:r>
      <w:r>
        <w:rPr>
          <w:rtl w:val="true"/>
        </w:rPr>
        <w:t xml:space="preserve">. </w:t>
      </w:r>
      <w:r>
        <w:rPr>
          <w:rtl w:val="true"/>
        </w:rPr>
        <w:t xml:space="preserve">נגזרו </w:t>
      </w:r>
      <w:r>
        <w:rPr/>
        <w:t>6</w:t>
      </w:r>
      <w:r>
        <w:rPr>
          <w:rtl w:val="true"/>
        </w:rPr>
        <w:t xml:space="preserve"> </w:t>
      </w:r>
      <w:r>
        <w:rPr>
          <w:rtl w:val="true"/>
        </w:rPr>
        <w:t>חודשי מאסר מותנה וצו 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. </w:t>
      </w:r>
      <w:r>
        <w:rPr>
          <w:rtl w:val="true"/>
        </w:rPr>
        <w:t>צעיר</w:t>
      </w:r>
      <w:r>
        <w:rPr>
          <w:rtl w:val="true"/>
        </w:rPr>
        <w:t xml:space="preserve">, </w:t>
      </w:r>
      <w:r>
        <w:rPr>
          <w:rtl w:val="true"/>
        </w:rPr>
        <w:t>נעדר עבר פלילי</w:t>
      </w:r>
      <w:r>
        <w:rPr>
          <w:rtl w:val="true"/>
        </w:rPr>
        <w:t xml:space="preserve">. 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5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</w:rPr>
          <w:t>11185-03-13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מור חזן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18/6/15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>עבירות של נהיגה פוחזת של רכב</w:t>
      </w:r>
      <w:r>
        <w:rPr>
          <w:rtl w:val="true"/>
        </w:rPr>
        <w:t xml:space="preserve">, </w:t>
      </w:r>
      <w:r>
        <w:rPr>
          <w:rtl w:val="true"/>
        </w:rPr>
        <w:t>היעדר פוליסה</w:t>
      </w:r>
      <w:r>
        <w:rPr>
          <w:rtl w:val="true"/>
        </w:rPr>
        <w:t xml:space="preserve">, </w:t>
      </w:r>
      <w:r>
        <w:rPr>
          <w:rtl w:val="true"/>
        </w:rPr>
        <w:t>נהיגה בקלות ראש</w:t>
      </w:r>
      <w:r>
        <w:rPr>
          <w:rtl w:val="true"/>
        </w:rPr>
        <w:t xml:space="preserve">, </w:t>
      </w:r>
      <w:r>
        <w:rPr>
          <w:rtl w:val="true"/>
        </w:rPr>
        <w:t>נהיגת רכב מנועי ללא רישיון ונהיגת רכב ללא רישיון בתוקף</w:t>
      </w:r>
      <w:r>
        <w:rPr>
          <w:rtl w:val="true"/>
        </w:rPr>
        <w:t xml:space="preserve">. </w:t>
      </w:r>
      <w:r>
        <w:rPr>
          <w:rtl w:val="true"/>
        </w:rPr>
        <w:t>בית המשפט השלום</w:t>
      </w:r>
      <w:r>
        <w:rPr>
          <w:rtl w:val="true"/>
        </w:rPr>
        <w:t xml:space="preserve">, </w:t>
      </w:r>
      <w:r>
        <w:rPr>
          <w:rtl w:val="true"/>
        </w:rPr>
        <w:t>במסגרת הסדר טיעון</w:t>
      </w:r>
      <w:r>
        <w:rPr>
          <w:rtl w:val="true"/>
        </w:rPr>
        <w:t xml:space="preserve">, </w:t>
      </w:r>
      <w:r>
        <w:rPr>
          <w:rtl w:val="true"/>
        </w:rPr>
        <w:t xml:space="preserve">האריך מאסר מותנה אשר היה תלוי ועומד כנגדו וגזר עליו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של</w:t>
      </w:r>
      <w:r>
        <w:rPr>
          <w:rtl w:val="true"/>
        </w:rPr>
        <w:t>"</w:t>
      </w:r>
      <w:r>
        <w:rPr>
          <w:rtl w:val="true"/>
        </w:rPr>
        <w:t>צ</w:t>
      </w:r>
      <w:r>
        <w:rPr>
          <w:rtl w:val="true"/>
        </w:rPr>
        <w:t xml:space="preserve">, </w:t>
      </w:r>
      <w:r>
        <w:rPr>
          <w:rtl w:val="true"/>
        </w:rPr>
        <w:t>קנס</w:t>
      </w:r>
      <w:r>
        <w:rPr>
          <w:rtl w:val="true"/>
        </w:rPr>
        <w:t xml:space="preserve">, </w:t>
      </w:r>
      <w:r>
        <w:rPr>
          <w:rtl w:val="true"/>
        </w:rPr>
        <w:t>פסילה בפועל ופסילה על תנאי</w:t>
      </w:r>
      <w:r>
        <w:rPr>
          <w:rtl w:val="true"/>
        </w:rPr>
        <w:t xml:space="preserve">. </w:t>
      </w:r>
      <w:r>
        <w:rPr>
          <w:rtl w:val="true"/>
        </w:rPr>
        <w:t>הנאשם נעדר עבר פלילי ובעל עבר תעבורתי</w:t>
      </w:r>
      <w:r>
        <w:rPr>
          <w:rtl w:val="true"/>
        </w:rPr>
        <w:t>.</w:t>
      </w:r>
    </w:p>
    <w:p>
      <w:pPr>
        <w:pStyle w:val="Normal"/>
        <w:numPr>
          <w:ilvl w:val="0"/>
          <w:numId w:val="5"/>
        </w:numPr>
        <w:snapToGrid w:val="false"/>
        <w:spacing w:lineRule="auto" w:line="360"/>
        <w:ind w:hanging="360" w:start="417" w:end="0"/>
        <w:jc w:val="both"/>
        <w:rPr/>
      </w:pPr>
      <w:hyperlink r:id="rId16">
        <w:r>
          <w:rPr>
            <w:rStyle w:val="Hyperlink"/>
            <w:color w:val="0000FF"/>
            <w:u w:val="single"/>
            <w:rtl w:val="true"/>
          </w:rPr>
          <w:t>ת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 xml:space="preserve">פ 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"</w:t>
        </w:r>
        <w:r>
          <w:rPr>
            <w:rStyle w:val="Hyperlink"/>
            <w:color w:val="0000FF"/>
            <w:u w:val="single"/>
            <w:rtl w:val="true"/>
          </w:rPr>
          <w:t>ש</w:t>
        </w:r>
        <w:r>
          <w:rPr>
            <w:rStyle w:val="Hyperlink"/>
            <w:color w:val="0000FF"/>
            <w:u w:val="single"/>
            <w:rtl w:val="true"/>
          </w:rPr>
          <w:t xml:space="preserve">) </w:t>
        </w:r>
        <w:r>
          <w:rPr>
            <w:rStyle w:val="Hyperlink"/>
            <w:color w:val="0000FF"/>
            <w:u w:val="single"/>
          </w:rPr>
          <w:t>8097/01</w:t>
        </w:r>
      </w:hyperlink>
      <w:r>
        <w:rPr>
          <w:rtl w:val="true"/>
        </w:rPr>
        <w:t xml:space="preserve"> </w:t>
      </w:r>
      <w:r>
        <w:rPr>
          <w:b/>
          <w:b/>
          <w:bCs/>
          <w:rtl w:val="true"/>
        </w:rPr>
        <w:t>מדינת ישראל נ</w:t>
      </w:r>
      <w:r>
        <w:rPr>
          <w:b/>
          <w:bCs/>
          <w:rtl w:val="true"/>
        </w:rPr>
        <w:t xml:space="preserve">' </w:t>
      </w:r>
      <w:r>
        <w:rPr>
          <w:b/>
          <w:b/>
          <w:bCs/>
          <w:rtl w:val="true"/>
        </w:rPr>
        <w:t>ויטנברג יהודה</w:t>
      </w:r>
      <w:r>
        <w:rPr>
          <w:rtl w:val="true"/>
        </w:rPr>
        <w:t xml:space="preserve"> </w:t>
      </w:r>
      <w:r>
        <w:rPr>
          <w:rtl w:val="true"/>
        </w:rPr>
        <w:t>(</w:t>
      </w:r>
      <w:r>
        <w:rPr>
          <w:rtl w:val="true"/>
        </w:rPr>
        <w:t xml:space="preserve">ניתן ביום </w:t>
      </w:r>
      <w:r>
        <w:rPr/>
        <w:t>17/2/02</w:t>
      </w:r>
      <w:r>
        <w:rPr>
          <w:rtl w:val="true"/>
        </w:rPr>
        <w:t xml:space="preserve">) </w:t>
      </w:r>
      <w:r>
        <w:rPr>
          <w:rtl w:val="true"/>
        </w:rPr>
        <w:t>–</w:t>
      </w:r>
      <w:r>
        <w:rPr>
          <w:rtl w:val="true"/>
        </w:rPr>
        <w:t xml:space="preserve">עבירות של נשק לפי </w:t>
      </w:r>
      <w:hyperlink r:id="rId17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144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א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ו</w:t>
      </w:r>
      <w:r>
        <w:rPr>
          <w:rtl w:val="true"/>
        </w:rPr>
        <w:t xml:space="preserve">- </w:t>
      </w:r>
      <w:hyperlink r:id="rId18"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  <w:rtl w:val="true"/>
          </w:rPr>
          <w:t>ב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 xml:space="preserve">ובעבירה של מעשי פזיזות ורשלנות לפי </w:t>
      </w:r>
      <w:hyperlink r:id="rId19">
        <w:r>
          <w:rPr>
            <w:rStyle w:val="Hyperlink"/>
            <w:color w:val="0000FF"/>
            <w:u w:val="single"/>
            <w:rtl w:val="true"/>
          </w:rPr>
          <w:t xml:space="preserve">סעיף </w:t>
        </w:r>
        <w:r>
          <w:rPr>
            <w:rStyle w:val="Hyperlink"/>
            <w:color w:val="0000FF"/>
            <w:u w:val="single"/>
          </w:rPr>
          <w:t>338</w:t>
        </w:r>
        <w:r>
          <w:rPr>
            <w:rStyle w:val="Hyperlink"/>
            <w:color w:val="0000FF"/>
            <w:u w:val="single"/>
            <w:rtl w:val="true"/>
          </w:rPr>
          <w:t>(</w:t>
        </w:r>
        <w:r>
          <w:rPr>
            <w:rStyle w:val="Hyperlink"/>
            <w:color w:val="0000FF"/>
            <w:u w:val="single"/>
          </w:rPr>
          <w:t>5</w:t>
        </w:r>
        <w:r>
          <w:rPr>
            <w:rStyle w:val="Hyperlink"/>
            <w:color w:val="0000FF"/>
            <w:u w:val="single"/>
            <w:rtl w:val="true"/>
          </w:rPr>
          <w:t>)</w:t>
        </w:r>
      </w:hyperlink>
      <w:r>
        <w:rPr>
          <w:rtl w:val="true"/>
        </w:rPr>
        <w:t xml:space="preserve"> </w:t>
      </w:r>
      <w:r>
        <w:rPr>
          <w:rtl w:val="true"/>
        </w:rPr>
        <w:t>ל</w:t>
      </w:r>
      <w:hyperlink r:id="rId20">
        <w:r>
          <w:rPr>
            <w:rStyle w:val="Hyperlink"/>
            <w:color w:val="0000FF"/>
            <w:u w:val="single"/>
            <w:rtl w:val="true"/>
          </w:rPr>
          <w:t>חוק העונשין</w:t>
        </w:r>
      </w:hyperlink>
      <w:r>
        <w:rPr>
          <w:rtl w:val="true"/>
        </w:rPr>
        <w:t xml:space="preserve">. </w:t>
      </w:r>
      <w:r>
        <w:rPr>
          <w:rtl w:val="true"/>
        </w:rPr>
        <w:t>הנאשם</w:t>
      </w:r>
      <w:r>
        <w:rPr>
          <w:rtl w:val="true"/>
        </w:rPr>
        <w:t xml:space="preserve">, </w:t>
      </w:r>
      <w:r>
        <w:rPr>
          <w:rtl w:val="true"/>
        </w:rPr>
        <w:t xml:space="preserve">בהיותו </w:t>
      </w:r>
      <w:r>
        <w:rPr>
          <w:rtl w:val="true"/>
        </w:rPr>
        <w:t>שיכור נשא רימון רסס בידיו</w:t>
      </w:r>
      <w:r>
        <w:rPr>
          <w:rtl w:val="true"/>
        </w:rPr>
        <w:t xml:space="preserve">, </w:t>
      </w:r>
      <w:r>
        <w:rPr>
          <w:rtl w:val="true"/>
        </w:rPr>
        <w:t>שלף את הניצרה</w:t>
      </w:r>
      <w:r>
        <w:rPr>
          <w:rtl w:val="true"/>
        </w:rPr>
        <w:t xml:space="preserve">, </w:t>
      </w:r>
      <w:r>
        <w:rPr>
          <w:rtl w:val="true"/>
        </w:rPr>
        <w:t>השליך</w:t>
      </w:r>
      <w:r>
        <w:rPr>
          <w:rtl w:val="true"/>
        </w:rPr>
        <w:t xml:space="preserve"> את הרימון והוא התפוצץ</w:t>
      </w:r>
      <w:r>
        <w:rPr>
          <w:rtl w:val="true"/>
        </w:rPr>
        <w:t xml:space="preserve">. </w:t>
      </w:r>
      <w:r>
        <w:rPr>
          <w:rtl w:val="true"/>
        </w:rPr>
        <w:t>כן מצאו בדירתו כדורי רובה ושתי מחסניות</w:t>
      </w:r>
      <w:r>
        <w:rPr>
          <w:rtl w:val="true"/>
        </w:rPr>
        <w:t xml:space="preserve">. </w:t>
      </w:r>
      <w:r>
        <w:rPr>
          <w:rtl w:val="true"/>
        </w:rPr>
        <w:t>בית המשפט המחוזי גזר עליו</w:t>
      </w:r>
      <w:r>
        <w:rPr>
          <w:rtl w:val="true"/>
        </w:rPr>
        <w:t xml:space="preserve"> </w:t>
      </w:r>
      <w:r>
        <w:rPr/>
        <w:t>8</w:t>
      </w:r>
      <w:r>
        <w:rPr>
          <w:rtl w:val="true"/>
        </w:rPr>
        <w:t xml:space="preserve"> </w:t>
      </w:r>
      <w:r>
        <w:rPr>
          <w:rtl w:val="true"/>
        </w:rPr>
        <w:t>חודשי מאסר על תנאי</w:t>
      </w:r>
      <w:r>
        <w:rPr>
          <w:rtl w:val="true"/>
        </w:rPr>
        <w:t xml:space="preserve">, </w:t>
      </w:r>
      <w:r>
        <w:rPr>
          <w:rtl w:val="true"/>
        </w:rPr>
        <w:t>צו של</w:t>
      </w:r>
      <w:r>
        <w:rPr>
          <w:rtl w:val="true"/>
        </w:rPr>
        <w:t>"</w:t>
      </w:r>
      <w:r>
        <w:rPr>
          <w:rtl w:val="true"/>
        </w:rPr>
        <w:t>צ וצו פיקוח</w:t>
      </w:r>
      <w:r>
        <w:rPr>
          <w:rtl w:val="true"/>
        </w:rPr>
        <w:t xml:space="preserve">. </w:t>
      </w:r>
      <w:r>
        <w:rPr>
          <w:rtl w:val="true"/>
        </w:rPr>
        <w:t>המדובר בבחור צעיר נעדר עבר פלילי</w:t>
      </w:r>
      <w:r>
        <w:rPr>
          <w:rtl w:val="true"/>
        </w:rPr>
        <w:t xml:space="preserve">. </w:t>
      </w:r>
    </w:p>
    <w:p>
      <w:pPr>
        <w:pStyle w:val="ListParagraph"/>
        <w:ind w:end="0"/>
        <w:jc w:val="start"/>
        <w:rPr/>
      </w:pPr>
      <w:r>
        <w:rPr>
          <w:rtl w:val="true"/>
        </w:rPr>
      </w:r>
    </w:p>
    <w:p>
      <w:pPr>
        <w:pStyle w:val="Normal"/>
        <w:numPr>
          <w:ilvl w:val="0"/>
          <w:numId w:val="3"/>
        </w:numPr>
        <w:spacing w:lineRule="auto" w:line="360"/>
        <w:ind w:hanging="360" w:start="20" w:end="0"/>
        <w:jc w:val="both"/>
        <w:rPr>
          <w:sz w:val="20"/>
          <w:highlight w:val="yellow"/>
        </w:rPr>
      </w:pPr>
      <w:r>
        <w:rPr>
          <w:b/>
          <w:b/>
          <w:bCs/>
          <w:sz w:val="20"/>
          <w:sz w:val="20"/>
          <w:u w:val="single"/>
          <w:rtl w:val="true"/>
        </w:rPr>
        <w:t xml:space="preserve">הנסיבות הקשורות בביצוע העבירה </w:t>
      </w:r>
      <w:r>
        <w:rPr>
          <w:b/>
          <w:bCs/>
          <w:sz w:val="20"/>
          <w:rtl w:val="true"/>
        </w:rPr>
        <w:t>-</w:t>
      </w:r>
      <w:r>
        <w:rPr>
          <w:rtl w:val="true"/>
        </w:rPr>
        <w:t xml:space="preserve"> </w:t>
      </w:r>
      <w:r>
        <w:rPr>
          <w:rtl w:val="true"/>
        </w:rPr>
        <w:t>בשלב זה אין מקום להתחשב בנסיבותיו האישיות של הנאשם</w:t>
      </w:r>
      <w:r>
        <w:rPr>
          <w:rtl w:val="true"/>
        </w:rPr>
        <w:t xml:space="preserve">, </w:t>
      </w:r>
      <w:r>
        <w:rPr>
          <w:rtl w:val="true"/>
        </w:rPr>
        <w:t>אולם על מתחם הענישה להיות מותאם באופן ספציפי לנסיבות ביצועה של העבירה ולמידת אשמתו של הנאשם</w:t>
      </w:r>
      <w:r>
        <w:rPr>
          <w:rtl w:val="true"/>
        </w:rPr>
        <w:t xml:space="preserve">. </w:t>
      </w:r>
    </w:p>
    <w:p>
      <w:pPr>
        <w:pStyle w:val="Normal"/>
        <w:snapToGrid w:val="false"/>
        <w:spacing w:lineRule="auto" w:line="360" w:before="120" w:after="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בענייננו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לקולא </w:t>
      </w:r>
      <w:r>
        <w:rPr>
          <w:sz w:val="20"/>
          <w:sz w:val="20"/>
          <w:rtl w:val="true"/>
        </w:rPr>
        <w:t>את</w:t>
      </w:r>
      <w:r>
        <w:rPr>
          <w:sz w:val="20"/>
          <w:sz w:val="20"/>
          <w:rtl w:val="true"/>
        </w:rPr>
        <w:t>חשב בעובדה</w:t>
      </w:r>
      <w:r>
        <w:rPr>
          <w:sz w:val="20"/>
          <w:rtl w:val="true"/>
        </w:rPr>
        <w:t>,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כי </w:t>
      </w:r>
      <w:r>
        <w:rPr>
          <w:sz w:val="20"/>
          <w:sz w:val="20"/>
          <w:rtl w:val="true"/>
        </w:rPr>
        <w:t>המדובר בעבירת רשלנות וכן בעובדה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כי כתוצאה ממעשיו של הנאשם לא נגרמה פגיעה בגוף או בנפש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rtl w:val="true"/>
        </w:rPr>
        <w:t>לא למיותר לציין</w:t>
      </w:r>
      <w:r>
        <w:rPr>
          <w:rtl w:val="true"/>
        </w:rPr>
        <w:t xml:space="preserve">, </w:t>
      </w:r>
      <w:r>
        <w:rPr>
          <w:rtl w:val="true"/>
        </w:rPr>
        <w:t xml:space="preserve">כי כתב האישום תוקן בעקבות הסדר הטיעון כאמור וכעת מיוחסת לנאשם עבירה של מעשה פזיזות ורשלנות אשר העונש המרבי בגינה הינו </w:t>
      </w:r>
      <w:r>
        <w:rPr/>
        <w:t>3</w:t>
      </w:r>
      <w:r>
        <w:rPr>
          <w:rtl w:val="true"/>
        </w:rPr>
        <w:t xml:space="preserve"> </w:t>
      </w:r>
      <w:r>
        <w:rPr>
          <w:rtl w:val="true"/>
        </w:rPr>
        <w:t>שנים</w:t>
      </w:r>
      <w:r>
        <w:rPr>
          <w:rtl w:val="true"/>
        </w:rPr>
        <w:t xml:space="preserve">. </w:t>
      </w:r>
      <w:r>
        <w:rPr>
          <w:rtl w:val="true"/>
        </w:rPr>
        <w:t xml:space="preserve">העבירות אשר יוחסו לנאשם במסגרת כתב האישום המקורי </w:t>
      </w:r>
      <w:r>
        <w:rPr>
          <w:rtl w:val="true"/>
        </w:rPr>
        <w:t xml:space="preserve">-   </w:t>
      </w:r>
      <w:r>
        <w:rPr>
          <w:rtl w:val="true"/>
        </w:rPr>
        <w:t xml:space="preserve">עבירה של סיכון חיי אנשים במזיד בנתיב תחבורה והחזקת סכין </w:t>
      </w:r>
      <w:r>
        <w:rPr>
          <w:rtl w:val="true"/>
        </w:rPr>
        <w:t>–</w:t>
      </w:r>
      <w:r>
        <w:rPr>
          <w:rtl w:val="true"/>
        </w:rPr>
        <w:t xml:space="preserve"> נמחקו</w:t>
      </w:r>
      <w:r>
        <w:rPr>
          <w:rtl w:val="true"/>
        </w:rPr>
        <w:t xml:space="preserve">, </w:t>
      </w:r>
      <w:r>
        <w:rPr>
          <w:rtl w:val="true"/>
        </w:rPr>
        <w:t xml:space="preserve">כאשר העונש בגין העבירה של סיכון חיי אנשים במזיד בנתיב תחבורה הינה </w:t>
      </w:r>
      <w:r>
        <w:rPr/>
        <w:t>20</w:t>
      </w:r>
      <w:r>
        <w:rPr>
          <w:rtl w:val="true"/>
        </w:rPr>
        <w:t xml:space="preserve"> </w:t>
      </w:r>
      <w:r>
        <w:rPr>
          <w:rtl w:val="true"/>
        </w:rPr>
        <w:t>שנה ובסמכות בית המשפט המחוזי</w:t>
      </w:r>
      <w:r>
        <w:rPr>
          <w:rtl w:val="true"/>
        </w:rPr>
        <w:t xml:space="preserve">. </w:t>
      </w:r>
    </w:p>
    <w:p>
      <w:pPr>
        <w:pStyle w:val="Normal"/>
        <w:spacing w:lineRule="auto" w:line="360"/>
        <w:ind w:end="720"/>
        <w:jc w:val="both"/>
        <w:rPr>
          <w:b/>
          <w:bCs/>
          <w:sz w:val="20"/>
          <w:u w:val="single"/>
        </w:rPr>
      </w:pPr>
      <w:r>
        <w:rPr>
          <w:b/>
          <w:bCs/>
          <w:sz w:val="20"/>
          <w:u w:val="single"/>
          <w:rtl w:val="true"/>
        </w:rPr>
      </w:r>
    </w:p>
    <w:p>
      <w:pPr>
        <w:pStyle w:val="Normal"/>
        <w:spacing w:lineRule="auto" w:line="360"/>
        <w:ind w:end="720"/>
        <w:jc w:val="both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סיכום מתחם העונש ההולם</w:t>
      </w:r>
    </w:p>
    <w:p>
      <w:pPr>
        <w:pStyle w:val="Normal"/>
        <w:snapToGrid w:val="false"/>
        <w:spacing w:lineRule="auto" w:line="360"/>
        <w:ind w:end="0"/>
        <w:jc w:val="both"/>
        <w:rPr>
          <w:b/>
          <w:bCs/>
        </w:rPr>
      </w:pPr>
      <w:r>
        <w:rPr>
          <w:sz w:val="20"/>
          <w:sz w:val="20"/>
          <w:rtl w:val="true"/>
        </w:rPr>
        <w:t>בקביעת מתחם העונש ההולם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יש לקחת בחשבון מדיניות הענישה הנוהגת בעבירות דומות אולם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אין המדובר כאמור בשיקול יחידי בקביעת מתחם הענישה</w:t>
      </w:r>
      <w:r>
        <w:rPr>
          <w:sz w:val="20"/>
          <w:rtl w:val="true"/>
        </w:rPr>
        <w:t>.</w:t>
      </w:r>
    </w:p>
    <w:p>
      <w:pPr>
        <w:pStyle w:val="Normal"/>
        <w:snapToGrid w:val="false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נוכח האמור לעיל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 xml:space="preserve">מתחם הענישה </w:t>
      </w:r>
      <w:r>
        <w:rPr>
          <w:sz w:val="20"/>
          <w:sz w:val="20"/>
          <w:rtl w:val="true"/>
        </w:rPr>
        <w:t>ההולם את מעשי הנאשם נע</w:t>
      </w:r>
      <w:r>
        <w:rPr>
          <w:sz w:val="20"/>
          <w:sz w:val="20"/>
          <w:rtl w:val="true"/>
        </w:rPr>
        <w:t xml:space="preserve"> בין</w:t>
      </w:r>
      <w:r>
        <w:rPr>
          <w:sz w:val="20"/>
          <w:sz w:val="20"/>
          <w:rtl w:val="true"/>
        </w:rPr>
        <w:t xml:space="preserve"> </w:t>
      </w:r>
      <w:r>
        <w:rPr>
          <w:sz w:val="20"/>
        </w:rPr>
        <w:t>6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חודשי מאסר על תנאי ובין </w:t>
      </w:r>
      <w:r>
        <w:rPr>
          <w:sz w:val="20"/>
        </w:rPr>
        <w:t>9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>חודשי מאסר בפועל ברף העליון ועונשים נלווים</w:t>
      </w:r>
      <w:r>
        <w:rPr>
          <w:sz w:val="20"/>
          <w:rtl w:val="true"/>
        </w:rPr>
        <w:t xml:space="preserve">. </w:t>
      </w:r>
    </w:p>
    <w:p>
      <w:pPr>
        <w:pStyle w:val="Normal"/>
        <w:snapToGrid w:val="false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Normal"/>
        <w:numPr>
          <w:ilvl w:val="0"/>
          <w:numId w:val="0"/>
        </w:numPr>
        <w:snapToGrid w:val="false"/>
        <w:spacing w:lineRule="auto" w:line="360"/>
        <w:ind w:hanging="0" w:start="0" w:end="0"/>
        <w:jc w:val="both"/>
        <w:outlineLvl w:val="0"/>
        <w:rPr>
          <w:b/>
          <w:bCs/>
          <w:sz w:val="20"/>
          <w:u w:val="single"/>
        </w:rPr>
      </w:pPr>
      <w:r>
        <w:rPr>
          <w:b/>
          <w:b/>
          <w:bCs/>
          <w:sz w:val="20"/>
          <w:sz w:val="20"/>
          <w:u w:val="single"/>
          <w:rtl w:val="true"/>
        </w:rPr>
        <w:t>גזירת העונש</w:t>
      </w:r>
      <w:r>
        <w:rPr>
          <w:b/>
          <w:bCs/>
          <w:sz w:val="20"/>
          <w:u w:val="single"/>
          <w:rtl w:val="true"/>
        </w:rPr>
        <w:t>:</w:t>
      </w:r>
    </w:p>
    <w:p>
      <w:pPr>
        <w:pStyle w:val="Normal"/>
        <w:snapToGrid w:val="false"/>
        <w:spacing w:lineRule="auto" w:line="360"/>
        <w:ind w:end="0"/>
        <w:jc w:val="both"/>
        <w:rPr/>
      </w:pPr>
      <w:r>
        <w:rPr>
          <w:sz w:val="20"/>
          <w:sz w:val="20"/>
          <w:rtl w:val="true"/>
        </w:rPr>
        <w:t>נסיבותיו האישיות של הנאשם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שאינן קשורות בביצוע העבירה</w:t>
      </w:r>
      <w:r>
        <w:rPr>
          <w:sz w:val="20"/>
          <w:rtl w:val="true"/>
        </w:rPr>
        <w:t>,</w:t>
      </w:r>
      <w:r>
        <w:rPr>
          <w:sz w:val="20"/>
          <w:rtl w:val="true"/>
        </w:rPr>
        <w:t xml:space="preserve"> </w:t>
      </w:r>
      <w:r>
        <w:rPr>
          <w:sz w:val="20"/>
          <w:sz w:val="20"/>
          <w:rtl w:val="true"/>
        </w:rPr>
        <w:t xml:space="preserve">מוצאות ביטוין </w:t>
      </w:r>
      <w:r>
        <w:rPr>
          <w:sz w:val="20"/>
          <w:sz w:val="20"/>
          <w:rtl w:val="true"/>
        </w:rPr>
        <w:t>ב</w:t>
      </w:r>
      <w:r>
        <w:rPr>
          <w:sz w:val="20"/>
          <w:sz w:val="20"/>
          <w:rtl w:val="true"/>
        </w:rPr>
        <w:t>עת קביעת עונשו של הנאשם בתוך מתחם הענישה שנקבע לעיל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אתחשב בהודאת הנאשם במיוחס לו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בעובדה כי נטל אחריות למעשיו</w:t>
      </w:r>
      <w:r>
        <w:rPr>
          <w:sz w:val="20"/>
          <w:rtl w:val="true"/>
        </w:rPr>
        <w:t xml:space="preserve">, </w:t>
      </w:r>
      <w:r>
        <w:rPr>
          <w:sz w:val="20"/>
          <w:sz w:val="20"/>
          <w:rtl w:val="true"/>
        </w:rPr>
        <w:t>בגילו הצעיר ובעובדת היותו נעדר עבר פלילי</w:t>
      </w:r>
      <w:r>
        <w:rPr>
          <w:sz w:val="20"/>
          <w:rtl w:val="true"/>
        </w:rPr>
        <w:t xml:space="preserve">. </w:t>
      </w:r>
      <w:r>
        <w:rPr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sz w:val="20"/>
          <w:rtl w:val="true"/>
        </w:rPr>
        <w:t>אין בענייננו הצדקה או אפשרות לחרוג לקולא ממתחם העונש ההולם למטרת שיקום</w:t>
      </w:r>
      <w:r>
        <w:rPr>
          <w:sz w:val="20"/>
          <w:rtl w:val="true"/>
        </w:rPr>
        <w:t xml:space="preserve">. </w:t>
      </w:r>
      <w:r>
        <w:rPr>
          <w:sz w:val="20"/>
          <w:sz w:val="20"/>
          <w:rtl w:val="true"/>
        </w:rPr>
        <w:t>אף אין בענייננו הצדקה לחרוג לחומרה מן המתחם ההולם</w:t>
      </w:r>
      <w:r>
        <w:rPr>
          <w:sz w:val="20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sz w:val="20"/>
        </w:rPr>
      </w:pPr>
      <w:r>
        <w:rPr>
          <w:sz w:val="20"/>
          <w:rtl w:val="true"/>
        </w:rPr>
      </w:r>
    </w:p>
    <w:p>
      <w:pPr>
        <w:pStyle w:val="ListNumber"/>
        <w:numPr>
          <w:ilvl w:val="0"/>
          <w:numId w:val="0"/>
        </w:numPr>
        <w:spacing w:lineRule="auto" w:line="360"/>
        <w:ind w:hanging="0" w:start="0" w:end="0"/>
        <w:jc w:val="both"/>
        <w:rPr>
          <w:b/>
          <w:bCs/>
          <w:u w:val="single"/>
        </w:rPr>
      </w:pPr>
      <w:r>
        <w:rPr>
          <w:rFonts w:cs="David"/>
          <w:b/>
          <w:b/>
          <w:bCs/>
          <w:u w:val="single"/>
          <w:rtl w:val="true"/>
        </w:rPr>
        <w:t>סוף</w:t>
      </w:r>
      <w:r>
        <w:rPr>
          <w:b/>
          <w:b/>
          <w:bCs/>
          <w:u w:val="single"/>
          <w:rtl w:val="true"/>
        </w:rPr>
        <w:t xml:space="preserve"> </w:t>
      </w:r>
      <w:r>
        <w:rPr>
          <w:rFonts w:cs="David"/>
          <w:b/>
          <w:b/>
          <w:bCs/>
          <w:u w:val="single"/>
          <w:rtl w:val="true"/>
        </w:rPr>
        <w:t>דבר</w:t>
      </w:r>
    </w:p>
    <w:p>
      <w:pPr>
        <w:pStyle w:val="Style14"/>
        <w:numPr>
          <w:ilvl w:val="0"/>
          <w:numId w:val="0"/>
        </w:numPr>
        <w:spacing w:before="0" w:after="0"/>
        <w:ind w:hanging="720" w:start="720" w:end="0"/>
        <w:jc w:val="both"/>
        <w:rPr>
          <w:rFonts w:cs="David"/>
          <w:b/>
          <w:bCs/>
          <w:u w:val="single"/>
        </w:rPr>
      </w:pPr>
      <w:r>
        <w:rPr>
          <w:rFonts w:cs="David"/>
          <w:b/>
          <w:bCs/>
          <w:u w:val="single"/>
          <w:rtl w:val="true"/>
        </w:rPr>
      </w:r>
    </w:p>
    <w:p>
      <w:pPr>
        <w:pStyle w:val="Style14"/>
        <w:numPr>
          <w:ilvl w:val="0"/>
          <w:numId w:val="0"/>
        </w:numPr>
        <w:spacing w:before="0" w:after="0"/>
        <w:ind w:hanging="72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הנני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גוזר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על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הנאשם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את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העונשים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הבאים</w:t>
      </w:r>
      <w:r>
        <w:rPr>
          <w:b/>
          <w:bCs/>
          <w:rtl w:val="true"/>
        </w:rPr>
        <w:t>:</w:t>
      </w:r>
    </w:p>
    <w:p>
      <w:pPr>
        <w:pStyle w:val="Style14"/>
        <w:numPr>
          <w:ilvl w:val="0"/>
          <w:numId w:val="0"/>
        </w:numPr>
        <w:spacing w:before="0" w:after="0"/>
        <w:ind w:hanging="720" w:start="720"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>אני</w:t>
      </w:r>
      <w:r>
        <w:rPr>
          <w:b/>
          <w:b/>
          <w:bCs/>
          <w:rtl w:val="true"/>
        </w:rPr>
        <w:t xml:space="preserve"> מטיל על הנאשם מאסר על תנאי </w:t>
      </w:r>
      <w:r>
        <w:rPr>
          <w:b/>
          <w:b/>
          <w:bCs/>
          <w:rtl w:val="true"/>
        </w:rPr>
        <w:t>של</w:t>
      </w:r>
      <w:r>
        <w:rPr>
          <w:b/>
          <w:b/>
          <w:bCs/>
          <w:rtl w:val="true"/>
        </w:rPr>
        <w:t xml:space="preserve"> </w:t>
      </w:r>
      <w:r>
        <w:rPr>
          <w:b/>
          <w:bCs/>
        </w:rPr>
        <w:t>8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חודשים</w:t>
      </w:r>
      <w:r>
        <w:rPr>
          <w:b/>
          <w:b/>
          <w:bCs/>
          <w:rtl w:val="true"/>
        </w:rPr>
        <w:t xml:space="preserve"> למשך </w:t>
      </w:r>
      <w:r>
        <w:rPr>
          <w:b/>
          <w:bCs/>
        </w:rPr>
        <w:t>3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שנים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 xml:space="preserve">שלא יעבור </w:t>
      </w:r>
      <w:r>
        <w:rPr>
          <w:b/>
          <w:b/>
          <w:bCs/>
          <w:rtl w:val="true"/>
        </w:rPr>
        <w:t>על ה</w:t>
      </w:r>
      <w:r>
        <w:rPr>
          <w:b/>
          <w:b/>
          <w:bCs/>
          <w:rtl w:val="true"/>
        </w:rPr>
        <w:t xml:space="preserve">עבירה </w:t>
      </w:r>
      <w:r>
        <w:rPr>
          <w:b/>
          <w:b/>
          <w:bCs/>
          <w:rtl w:val="true"/>
        </w:rPr>
        <w:t>בה הורשע</w:t>
      </w:r>
      <w:r>
        <w:rPr>
          <w:b/>
          <w:bCs/>
          <w:rtl w:val="true"/>
        </w:rPr>
        <w:t>.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</w:t>
      </w:r>
      <w:r>
        <w:rPr>
          <w:b/>
          <w:bCs/>
        </w:rPr>
        <w:t>10</w:t>
      </w:r>
      <w:r>
        <w:rPr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חודשי פסילה על</w:t>
      </w:r>
      <w:r>
        <w:rPr>
          <w:b/>
          <w:bCs/>
          <w:rtl w:val="true"/>
        </w:rPr>
        <w:t>-</w:t>
      </w:r>
      <w:r>
        <w:rPr>
          <w:b/>
          <w:b/>
          <w:bCs/>
          <w:rtl w:val="true"/>
        </w:rPr>
        <w:t>תנאי מלהחזיק או לקבל רישיון נהיגה למשך שנתיים</w:t>
      </w:r>
      <w:r>
        <w:rPr>
          <w:b/>
          <w:bCs/>
          <w:rtl w:val="true"/>
        </w:rPr>
        <w:t xml:space="preserve">. </w:t>
      </w:r>
    </w:p>
    <w:p>
      <w:pPr>
        <w:pStyle w:val="Normal"/>
        <w:numPr>
          <w:ilvl w:val="0"/>
          <w:numId w:val="4"/>
        </w:numPr>
        <w:spacing w:lineRule="auto" w:line="360"/>
        <w:ind w:hanging="360" w:start="720" w:end="0"/>
        <w:jc w:val="both"/>
        <w:rPr>
          <w:b/>
          <w:bCs/>
        </w:rPr>
      </w:pPr>
      <w:r>
        <w:rPr>
          <w:b/>
          <w:b/>
          <w:bCs/>
          <w:rtl w:val="true"/>
        </w:rPr>
        <w:t xml:space="preserve">אני מטיל על הנאשם קנס בסך </w:t>
      </w:r>
      <w:r>
        <w:rPr>
          <w:b/>
          <w:bCs/>
        </w:rPr>
        <w:t>1,500</w:t>
      </w:r>
      <w:r>
        <w:rPr>
          <w:b/>
          <w:bCs/>
          <w:rtl w:val="true"/>
        </w:rPr>
        <w:t xml:space="preserve"> ₪ </w:t>
      </w:r>
      <w:r>
        <w:rPr>
          <w:b/>
          <w:b/>
          <w:bCs/>
          <w:rtl w:val="true"/>
        </w:rPr>
        <w:t>או</w:t>
      </w:r>
      <w:r>
        <w:rPr>
          <w:b/>
          <w:b/>
          <w:bCs/>
          <w:rtl w:val="true"/>
        </w:rPr>
        <w:t xml:space="preserve"> שבועיים</w:t>
      </w:r>
      <w:r>
        <w:rPr>
          <w:b/>
          <w:b/>
          <w:bCs/>
          <w:rtl w:val="true"/>
        </w:rPr>
        <w:t xml:space="preserve"> מאסר</w:t>
      </w:r>
      <w:r>
        <w:rPr>
          <w:b/>
          <w:b/>
          <w:bCs/>
          <w:rtl w:val="true"/>
        </w:rPr>
        <w:t xml:space="preserve"> תמורתו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הקנס ישולם תוך חודש מהיום</w:t>
      </w:r>
      <w:r>
        <w:rPr>
          <w:b/>
          <w:bCs/>
          <w:rtl w:val="true"/>
        </w:rPr>
        <w:t xml:space="preserve">. </w:t>
      </w:r>
      <w:r>
        <w:rPr>
          <w:b/>
          <w:b/>
          <w:bCs/>
          <w:rtl w:val="true"/>
        </w:rPr>
        <w:t>במידה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והופקדו כספים במסגרת תיק זה</w:t>
      </w:r>
      <w:r>
        <w:rPr>
          <w:b/>
          <w:bCs/>
          <w:rtl w:val="true"/>
        </w:rPr>
        <w:t xml:space="preserve">, </w:t>
      </w:r>
      <w:r>
        <w:rPr>
          <w:b/>
          <w:b/>
          <w:bCs/>
          <w:rtl w:val="true"/>
        </w:rPr>
        <w:t>יש</w:t>
      </w:r>
      <w:r>
        <w:rPr>
          <w:b/>
          <w:b/>
          <w:bCs/>
          <w:rtl w:val="true"/>
        </w:rPr>
        <w:t xml:space="preserve"> </w:t>
      </w:r>
      <w:r>
        <w:rPr>
          <w:b/>
          <w:b/>
          <w:bCs/>
          <w:rtl w:val="true"/>
        </w:rPr>
        <w:t>לקזזם עם הקנס</w:t>
      </w:r>
      <w:r>
        <w:rPr>
          <w:b/>
          <w:bCs/>
          <w:rtl w:val="true"/>
        </w:rPr>
        <w:t>.</w:t>
      </w:r>
      <w:r>
        <w:rPr>
          <w:b/>
          <w:bCs/>
          <w:rtl w:val="true"/>
        </w:rPr>
        <w:t xml:space="preserve"> </w:t>
      </w:r>
    </w:p>
    <w:p>
      <w:pPr>
        <w:pStyle w:val="Normal"/>
        <w:spacing w:lineRule="auto" w:line="360" w:before="0" w:after="120"/>
        <w:ind w:end="0"/>
        <w:jc w:val="both"/>
        <w:rPr>
          <w:b/>
          <w:bCs/>
          <w:sz w:val="22"/>
          <w:u w:val="single"/>
        </w:rPr>
      </w:pPr>
      <w:r>
        <w:rPr>
          <w:b/>
          <w:bCs/>
          <w:sz w:val="22"/>
          <w:u w:val="single"/>
          <w:rtl w:val="true"/>
        </w:rPr>
      </w:r>
    </w:p>
    <w:p>
      <w:pPr>
        <w:pStyle w:val="normal-p"/>
        <w:numPr>
          <w:ilvl w:val="0"/>
          <w:numId w:val="0"/>
        </w:numPr>
        <w:bidi w:val="1"/>
        <w:spacing w:lineRule="auto" w:line="360" w:before="0" w:after="0"/>
        <w:ind w:hanging="0" w:start="0" w:end="0"/>
        <w:jc w:val="both"/>
        <w:outlineLvl w:val="0"/>
        <w:rPr>
          <w:b/>
          <w:bCs/>
        </w:rPr>
      </w:pPr>
      <w:r>
        <w:rPr>
          <w:rStyle w:val="normal-h"/>
          <w:rFonts w:cs="David"/>
          <w:b/>
          <w:b/>
          <w:bCs/>
          <w:u w:val="single"/>
          <w:rtl w:val="true"/>
        </w:rPr>
        <w:t>זכות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ערעור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תוך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Cs/>
          <w:u w:val="single"/>
        </w:rPr>
        <w:t>45</w:t>
      </w:r>
      <w:r>
        <w:rPr>
          <w:rStyle w:val="normal-h"/>
          <w:rFonts w:cs="David"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יום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מהיום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ל</w:t>
      </w:r>
      <w:r>
        <w:rPr>
          <w:rStyle w:val="normal-h"/>
          <w:rFonts w:cs="David"/>
          <w:b/>
          <w:b/>
          <w:bCs/>
          <w:u w:val="single"/>
          <w:rtl w:val="true"/>
        </w:rPr>
        <w:t>בית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</w:t>
      </w:r>
      <w:r>
        <w:rPr>
          <w:rStyle w:val="normal-h"/>
          <w:rFonts w:cs="David"/>
          <w:b/>
          <w:b/>
          <w:bCs/>
          <w:u w:val="single"/>
          <w:rtl w:val="true"/>
        </w:rPr>
        <w:t>משפט</w:t>
      </w:r>
      <w:r>
        <w:rPr>
          <w:rStyle w:val="normal-h"/>
          <w:b/>
          <w:b/>
          <w:bCs/>
          <w:u w:val="single"/>
          <w:rtl w:val="true"/>
        </w:rPr>
        <w:t xml:space="preserve"> </w:t>
      </w:r>
      <w:r>
        <w:rPr>
          <w:rStyle w:val="normal-h"/>
          <w:rFonts w:cs="David"/>
          <w:b/>
          <w:b/>
          <w:bCs/>
          <w:u w:val="single"/>
          <w:rtl w:val="true"/>
        </w:rPr>
        <w:t>העליון</w:t>
      </w:r>
    </w:p>
    <w:p>
      <w:pPr>
        <w:pStyle w:val="Normal"/>
        <w:spacing w:lineRule="auto" w:line="360"/>
        <w:ind w:end="0"/>
        <w:jc w:val="both"/>
        <w:rPr>
          <w:b/>
          <w:bCs/>
        </w:rPr>
      </w:pPr>
      <w:r>
        <w:rPr>
          <w:b/>
          <w:bCs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color w:val="FFFFFF"/>
          <w:sz w:val="6"/>
          <w:szCs w:val="6"/>
        </w:rPr>
        <w:t>5129371</w:t>
      </w:r>
      <w:r>
        <w:rPr>
          <w:rtl w:val="true"/>
        </w:rPr>
        <w:t>&lt;</w:t>
      </w:r>
      <w:r>
        <w:rPr/>
        <w:t>#3#</w:t>
      </w:r>
      <w:r>
        <w:rPr>
          <w:rtl w:val="true"/>
        </w:rPr>
        <w:t>&gt;</w:t>
      </w:r>
    </w:p>
    <w:tbl>
      <w:tblPr>
        <w:bidiVisual w:val="true"/>
        <w:tblW w:w="3936" w:type="dxa"/>
        <w:jc w:val="start"/>
        <w:tblInd w:w="108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3936"/>
      </w:tblGrid>
      <w:tr>
        <w:trPr>
          <w:trHeight w:val="316" w:hRule="atLeast"/>
        </w:trPr>
        <w:tc>
          <w:tcPr>
            <w:tcW w:w="3936" w:type="dxa"/>
            <w:tcBorders>
              <w:bottom w:val="single" w:sz="4" w:space="0" w:color="000000"/>
            </w:tcBorders>
          </w:tcPr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b/>
                <w:bCs/>
                <w:color w:val="FFFFFF"/>
                <w:sz w:val="2"/>
                <w:szCs w:val="2"/>
              </w:rPr>
              <w:t>54678313</w:t>
            </w:r>
            <w:r>
              <w:rPr>
                <w:b/>
                <w:b/>
                <w:bCs/>
                <w:rtl w:val="true"/>
              </w:rPr>
              <w:t>ניתן והודע היום כ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ב סיוון תשע</w:t>
            </w:r>
            <w:r>
              <w:rPr>
                <w:b/>
                <w:bCs/>
                <w:rtl w:val="true"/>
              </w:rPr>
              <w:t>"</w:t>
            </w:r>
            <w:r>
              <w:rPr>
                <w:b/>
                <w:b/>
                <w:bCs/>
                <w:rtl w:val="true"/>
              </w:rPr>
              <w:t>ו</w:t>
            </w:r>
            <w:r>
              <w:rPr>
                <w:b/>
                <w:bCs/>
                <w:rtl w:val="true"/>
              </w:rPr>
              <w:t xml:space="preserve">, </w:t>
            </w:r>
            <w:r>
              <w:rPr>
                <w:b/>
                <w:bCs/>
              </w:rPr>
              <w:t>28/06/2016</w:t>
            </w:r>
            <w:r>
              <w:rPr>
                <w:b/>
                <w:bCs/>
                <w:rtl w:val="true"/>
              </w:rPr>
              <w:t xml:space="preserve"> </w:t>
            </w:r>
            <w:r>
              <w:rPr>
                <w:b/>
                <w:b/>
                <w:bCs/>
                <w:rtl w:val="true"/>
              </w:rPr>
              <w:t>במעמד הנוכחים</w:t>
            </w:r>
            <w:r>
              <w:rPr>
                <w:b/>
                <w:bCs/>
                <w:rtl w:val="true"/>
              </w:rPr>
              <w:t xml:space="preserve">. </w:t>
            </w:r>
          </w:p>
          <w:p>
            <w:pPr>
              <w:pStyle w:val="Normal"/>
              <w:ind w:end="0"/>
              <w:jc w:val="center"/>
              <w:rPr>
                <w:rFonts w:ascii="Times New Roman" w:hAnsi="Times New Roman" w:eastAsia="Times New Roman" w:cs="Times New Roman"/>
              </w:rPr>
            </w:pPr>
            <w:r>
              <w:rPr>
                <w:rFonts w:eastAsia="Times New Roman" w:cs="Times New Roman" w:ascii="Times New Roman" w:hAnsi="Times New Roman"/>
                <w:rtl w:val="true"/>
              </w:rPr>
            </w:r>
          </w:p>
        </w:tc>
      </w:tr>
      <w:tr>
        <w:trPr>
          <w:trHeight w:val="361" w:hRule="atLeast"/>
        </w:trPr>
        <w:tc>
          <w:tcPr>
            <w:tcW w:w="3936" w:type="dxa"/>
            <w:tcBorders>
              <w:top w:val="single" w:sz="4" w:space="0" w:color="000000"/>
            </w:tcBorders>
          </w:tcPr>
          <w:p>
            <w:pPr>
              <w:pStyle w:val="Normal"/>
              <w:ind w:end="0"/>
              <w:jc w:val="center"/>
              <w:rPr/>
            </w:pP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>'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ורג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'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אזולאי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  <w:r>
              <w:rPr>
                <w:rFonts w:eastAsia="Times New Roman" w:cs="Times New Roman" w:ascii="Times New Roman" w:hAnsi="Times New Roman"/>
                <w:b/>
                <w:bCs/>
                <w:rtl w:val="true"/>
              </w:rPr>
              <w:t xml:space="preserve">, 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>שופט</w:t>
            </w:r>
            <w:r>
              <w:rPr>
                <w:rFonts w:ascii="Times New Roman" w:hAnsi="Times New Roman" w:eastAsia="Times New Roman" w:cs="Times New Roman"/>
                <w:b/>
                <w:b/>
                <w:bCs/>
                <w:rtl w:val="true"/>
              </w:rPr>
              <w:t xml:space="preserve"> </w:t>
            </w:r>
          </w:p>
        </w:tc>
      </w:tr>
    </w:tbl>
    <w:p>
      <w:pPr>
        <w:pStyle w:val="Normal"/>
        <w:spacing w:lineRule="auto" w:line="360"/>
        <w:ind w:end="0"/>
        <w:jc w:val="both"/>
        <w:rPr/>
      </w:pPr>
      <w:r>
        <w:rPr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color w:val="000000"/>
          <w:sz w:val="22"/>
          <w:szCs w:val="22"/>
        </w:rPr>
      </w:pPr>
      <w:r>
        <w:rPr>
          <w:color w:val="000000"/>
          <w:sz w:val="22"/>
          <w:sz w:val="22"/>
          <w:szCs w:val="22"/>
          <w:rtl w:val="true"/>
        </w:rPr>
        <w:t>ג</w:t>
      </w:r>
      <w:r>
        <w:rPr>
          <w:color w:val="000000"/>
          <w:sz w:val="22"/>
          <w:szCs w:val="22"/>
          <w:rtl w:val="true"/>
        </w:rPr>
        <w:t>'</w:t>
      </w:r>
      <w:r>
        <w:rPr>
          <w:color w:val="000000"/>
          <w:sz w:val="22"/>
          <w:sz w:val="22"/>
          <w:szCs w:val="22"/>
          <w:rtl w:val="true"/>
        </w:rPr>
        <w:t>ורג</w:t>
      </w:r>
      <w:r>
        <w:rPr>
          <w:color w:val="000000"/>
          <w:sz w:val="22"/>
          <w:szCs w:val="22"/>
          <w:rtl w:val="true"/>
        </w:rPr>
        <w:t xml:space="preserve">' </w:t>
      </w:r>
      <w:r>
        <w:rPr>
          <w:color w:val="000000"/>
          <w:sz w:val="22"/>
          <w:sz w:val="22"/>
          <w:szCs w:val="22"/>
          <w:rtl w:val="true"/>
        </w:rPr>
        <w:t xml:space="preserve">אזולאי </w:t>
      </w:r>
      <w:r>
        <w:rPr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 מסמך זה כפוף לשינויי ניסוח 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21">
        <w:r>
          <w:rPr>
            <w:rStyle w:val="Hyperlink"/>
            <w:color w:val="0000FF"/>
            <w:u w:val="single"/>
            <w:rtl w:val="true"/>
          </w:rPr>
          <w:t>בעניין עריכה ושינויים במסמכי 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 ועוד באתר נבו – הקש כאן</w:t>
        </w:r>
      </w:hyperlink>
      <w:r>
        <w:rPr>
          <w:color w:val="0000FF"/>
          <w:u w:val="single"/>
          <w:rtl w:val="true"/>
        </w:rPr>
        <w:t xml:space="preserve"> </w:t>
      </w:r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22"/>
      <w:footerReference w:type="default" r:id="rId23"/>
      <w:type w:val="nextPage"/>
      <w:pgSz w:w="11906" w:h="16838"/>
      <w:pgMar w:left="1701" w:right="1701" w:gutter="0" w:header="1077" w:top="1701" w:footer="1157" w:bottom="1440"/>
      <w:pgNumType w:start="1" w:fmt="decimal"/>
      <w:formProt w:val="false"/>
      <w:textDirection w:val="lrTb"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David">
    <w:charset w:val="b1" w:characterSet="windows-1255"/>
    <w:family w:val="swiss"/>
    <w:pitch w:val="variable"/>
  </w:font>
  <w:font w:name="Courier New">
    <w:charset w:val="00" w:characterSet="windows-1252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FrankRuehl">
    <w:charset w:val="b1" w:characterSet="windows-1255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6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exact" w:line="220"/>
      <w:ind w:end="0"/>
      <w:jc w:val="start"/>
      <w:rPr>
        <w:color w:val="000000"/>
        <w:sz w:val="22"/>
        <w:szCs w:val="22"/>
      </w:rPr>
    </w:pPr>
    <w:r>
      <w:rPr>
        <w:color w:val="000000"/>
        <w:sz w:val="22"/>
        <w:sz w:val="22"/>
        <w:szCs w:val="22"/>
        <w:rtl w:val="true"/>
      </w:rPr>
      <w:t xml:space="preserve">תפ </w:t>
    </w:r>
    <w:r>
      <w:rPr>
        <w:color w:val="000000"/>
        <w:sz w:val="22"/>
        <w:szCs w:val="22"/>
        <w:rtl w:val="true"/>
      </w:rPr>
      <w:t>(</w:t>
    </w:r>
    <w:r>
      <w:rPr>
        <w:color w:val="000000"/>
        <w:sz w:val="22"/>
        <w:sz w:val="22"/>
        <w:szCs w:val="22"/>
        <w:rtl w:val="true"/>
      </w:rPr>
      <w:t>נצ</w:t>
    </w:r>
    <w:r>
      <w:rPr>
        <w:color w:val="000000"/>
        <w:sz w:val="22"/>
        <w:szCs w:val="22"/>
        <w:rtl w:val="true"/>
      </w:rPr>
      <w:t xml:space="preserve">') </w:t>
    </w:r>
    <w:r>
      <w:rPr>
        <w:color w:val="000000"/>
        <w:sz w:val="22"/>
        <w:szCs w:val="22"/>
      </w:rPr>
      <w:t>20722-03-14</w:t>
    </w:r>
    <w:r>
      <w:rPr>
        <w:color w:val="000000"/>
        <w:sz w:val="22"/>
        <w:szCs w:val="22"/>
        <w:rtl w:val="true"/>
      </w:rPr>
      <w:tab/>
      <w:t xml:space="preserve"> </w:t>
    </w:r>
    <w:r>
      <w:rPr>
        <w:color w:val="000000"/>
        <w:sz w:val="22"/>
        <w:sz w:val="22"/>
        <w:szCs w:val="22"/>
        <w:rtl w:val="true"/>
      </w:rPr>
      <w:t>מדינת ישראל נ</w:t>
    </w:r>
    <w:r>
      <w:rPr>
        <w:color w:val="000000"/>
        <w:sz w:val="22"/>
        <w:szCs w:val="22"/>
        <w:rtl w:val="true"/>
      </w:rPr>
      <w:t xml:space="preserve">' </w:t>
    </w:r>
    <w:r>
      <w:rPr>
        <w:color w:val="000000"/>
        <w:sz w:val="22"/>
        <w:sz w:val="22"/>
        <w:szCs w:val="22"/>
        <w:rtl w:val="true"/>
      </w:rPr>
      <w:t>סאמר עדוי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end"/>
      <w:pPr>
        <w:tabs>
          <w:tab w:val="num" w:pos="360"/>
        </w:tabs>
        <w:ind w:start="360" w:hanging="360"/>
      </w:pPr>
    </w:lvl>
  </w:abstractNum>
  <w:abstractNum w:abstractNumId="2">
    <w:lvl w:ilvl="0">
      <w:start w:val="1"/>
      <w:numFmt w:val="decimal"/>
      <w:lvlText w:val="%1."/>
      <w:lvlJc w:val="end"/>
      <w:pPr>
        <w:tabs>
          <w:tab w:val="num" w:pos="720"/>
        </w:tabs>
        <w:ind w:start="720" w:hanging="720"/>
      </w:pPr>
      <w:rPr>
        <w:rFonts w:cs="David"/>
      </w:rPr>
    </w:lvl>
  </w:abstractNum>
  <w:abstractNum w:abstractNumId="3">
    <w:lvl w:ilvl="0">
      <w:start w:val="1"/>
      <w:numFmt w:val="hebrew1"/>
      <w:lvlText w:val="%1."/>
      <w:lvlJc w:val="start"/>
      <w:pPr>
        <w:tabs>
          <w:tab w:val="num" w:pos="0"/>
        </w:tabs>
        <w:ind w:start="720" w:hanging="360"/>
      </w:pPr>
      <w:rPr>
        <w:b/>
        <w:bCs/>
      </w:rPr>
    </w:lvl>
  </w:abstractNum>
  <w:abstractNum w:abstractNumId="4">
    <w:lvl w:ilvl="0">
      <w:start w:val="1"/>
      <w:numFmt w:val="decimal"/>
      <w:lvlText w:val="%1."/>
      <w:lvlJc w:val="end"/>
      <w:pPr>
        <w:tabs>
          <w:tab w:val="num" w:pos="720"/>
        </w:tabs>
        <w:ind w:start="720" w:hanging="360"/>
      </w:pPr>
      <w:rPr>
        <w:rFonts w:ascii="David" w:hAnsi="David" w:eastAsia="Times New Roman" w:cs="David"/>
      </w:rPr>
    </w:lvl>
  </w:abstractNum>
  <w:abstractNum w:abstractNumId="5">
    <w:lvl w:ilvl="0">
      <w:start w:val="2"/>
      <w:numFmt w:val="bullet"/>
      <w:lvlText w:val=""/>
      <w:lvlJc w:val="end"/>
      <w:pPr>
        <w:tabs>
          <w:tab w:val="num" w:pos="0"/>
        </w:tabs>
        <w:ind w:start="720" w:hanging="360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David" w:hAnsi="David" w:eastAsia="David" w:cs="David"/>
      <w:color w:val="auto"/>
      <w:sz w:val="24"/>
      <w:szCs w:val="24"/>
      <w:lang w:val="en-US" w:bidi="he-IL" w:eastAsia="zh-CN"/>
    </w:rPr>
  </w:style>
  <w:style w:type="character" w:styleId="WW8Num2z0">
    <w:name w:val="WW8Num2z0"/>
    <w:qFormat/>
    <w:rPr>
      <w:rFonts w:cs="David"/>
    </w:rPr>
  </w:style>
  <w:style w:type="character" w:styleId="WW8Num2z1">
    <w:name w:val="WW8Num2z1"/>
    <w:qFormat/>
    <w:rPr>
      <w:rFonts w:cs="David"/>
      <w:sz w:val="2"/>
      <w:szCs w:val="24"/>
    </w:rPr>
  </w:style>
  <w:style w:type="character" w:styleId="WW8Num2z2">
    <w:name w:val="WW8Num2z2"/>
    <w:qFormat/>
    <w:rPr>
      <w:rFonts w:cs="Times New Roman"/>
    </w:rPr>
  </w:style>
  <w:style w:type="character" w:styleId="WW8Num2z3">
    <w:name w:val="WW8Num2z3"/>
    <w:qFormat/>
    <w:rPr>
      <w:rFonts w:cs="Times New Roman"/>
    </w:rPr>
  </w:style>
  <w:style w:type="character" w:styleId="WW8Num3z0">
    <w:name w:val="WW8Num3z0"/>
    <w:qFormat/>
    <w:rPr>
      <w:b/>
      <w:bCs/>
    </w:rPr>
  </w:style>
  <w:style w:type="character" w:styleId="WW8Num4z0">
    <w:name w:val="WW8Num4z0"/>
    <w:qFormat/>
    <w:rPr>
      <w:rFonts w:ascii="David" w:hAnsi="David" w:eastAsia="Times New Roman" w:cs="David"/>
    </w:rPr>
  </w:style>
  <w:style w:type="character" w:styleId="WW8Num5z0">
    <w:name w:val="WW8Num5z0"/>
    <w:qFormat/>
    <w:rPr>
      <w:rFonts w:ascii="Symbol" w:hAnsi="Symbol" w:eastAsia="Times New Roman" w:cs="David"/>
    </w:rPr>
  </w:style>
  <w:style w:type="character" w:styleId="WW8Num5z1">
    <w:name w:val="WW8Num5z1"/>
    <w:qFormat/>
    <w:rPr>
      <w:rFonts w:ascii="Courier New" w:hAnsi="Courier New" w:cs="Courier New"/>
    </w:rPr>
  </w:style>
  <w:style w:type="character" w:styleId="WW8Num5z2">
    <w:name w:val="WW8Num5z2"/>
    <w:qFormat/>
    <w:rPr>
      <w:rFonts w:ascii="Wingdings" w:hAnsi="Wingdings" w:cs="Wingdings"/>
    </w:rPr>
  </w:style>
  <w:style w:type="character" w:styleId="WW8Num5z3">
    <w:name w:val="WW8Num5z3"/>
    <w:qFormat/>
    <w:rPr>
      <w:rFonts w:ascii="Symbol" w:hAnsi="Symbol" w:cs="Symbol"/>
    </w:rPr>
  </w:style>
  <w:style w:type="character" w:styleId="DefaultParagraphFont">
    <w:name w:val="Default Paragraph Font"/>
    <w:qFormat/>
    <w:rPr/>
  </w:style>
  <w:style w:type="character" w:styleId="LineNumber">
    <w:name w:val="line number"/>
    <w:basedOn w:val="DefaultParagraphFont"/>
    <w:rPr/>
  </w:style>
  <w:style w:type="character" w:styleId="PageNumber">
    <w:name w:val="page number"/>
    <w:basedOn w:val="DefaultParagraphFont"/>
    <w:rPr/>
  </w:style>
  <w:style w:type="character" w:styleId="TimesNewRomanTimesNewRoman">
    <w:name w:val="סגנון (לטיני) Times New Roman (עברית ושפות אחרות) Times New Roman..."/>
    <w:qFormat/>
    <w:rPr>
      <w:rFonts w:ascii="Times New Roman" w:hAnsi="Times New Roman" w:cs="David"/>
      <w:b/>
      <w:bCs/>
      <w:sz w:val="26"/>
      <w:szCs w:val="26"/>
    </w:rPr>
  </w:style>
  <w:style w:type="character" w:styleId="normal-h">
    <w:name w:val="normal-h"/>
    <w:basedOn w:val="DefaultParagraphFont"/>
    <w:qFormat/>
    <w:rPr/>
  </w:style>
  <w:style w:type="character" w:styleId="Hyperlink">
    <w:name w:val="Hyperlink"/>
    <w:rPr>
      <w:color w:val="0000FF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12">
    <w:name w:val="רגיל + ‏12 נק'"/>
    <w:basedOn w:val="Normal"/>
    <w:qFormat/>
    <w:pPr/>
    <w:rPr>
      <w:rFonts w:ascii="Times New Roman" w:hAnsi="Times New Roman" w:eastAsia="Times New Roman" w:cs="Times New Roman"/>
      <w:b/>
      <w:bCs/>
      <w:u w:val="single"/>
    </w:rPr>
  </w:style>
  <w:style w:type="paragraph" w:styleId="normal-p">
    <w:name w:val="normal-p"/>
    <w:basedOn w:val="Normal"/>
    <w:qFormat/>
    <w:pPr>
      <w:bidi w:val="0"/>
      <w:spacing w:before="280" w:after="280"/>
    </w:pPr>
    <w:rPr>
      <w:rFonts w:ascii="Times New Roman" w:hAnsi="Times New Roman" w:eastAsia="Times New Roman" w:cs="Times New Roman"/>
    </w:rPr>
  </w:style>
  <w:style w:type="paragraph" w:styleId="ListParagraph">
    <w:name w:val="List Paragraph"/>
    <w:basedOn w:val="Normal"/>
    <w:qFormat/>
    <w:pPr>
      <w:ind w:hanging="0" w:start="720" w:end="0"/>
    </w:pPr>
    <w:rPr>
      <w:rFonts w:ascii="Times New Roman" w:hAnsi="Times New Roman" w:eastAsia="Times New Roman" w:cs="Times New Roman"/>
    </w:rPr>
  </w:style>
  <w:style w:type="paragraph" w:styleId="Style14">
    <w:name w:val="ממוספר"/>
    <w:basedOn w:val="Normal"/>
    <w:qFormat/>
    <w:pPr>
      <w:numPr>
        <w:ilvl w:val="0"/>
        <w:numId w:val="2"/>
      </w:numPr>
      <w:spacing w:lineRule="auto" w:line="360" w:before="0" w:after="120"/>
    </w:pPr>
    <w:rPr>
      <w:rFonts w:eastAsia="Times New Roman"/>
      <w:color w:val="000000"/>
    </w:rPr>
  </w:style>
  <w:style w:type="paragraph" w:styleId="ListNumber">
    <w:name w:val="List Number"/>
    <w:basedOn w:val="Normal"/>
    <w:qFormat/>
    <w:pPr>
      <w:numPr>
        <w:ilvl w:val="0"/>
        <w:numId w:val="1"/>
      </w:numPr>
    </w:pPr>
    <w:rPr>
      <w:rFonts w:ascii="Times New Roman" w:hAnsi="Times New Roman" w:eastAsia="Times New Roman" w:cs="Times New Roman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WW8Num1">
    <w:name w:val="WW8Num1"/>
    <w:qFormat/>
  </w:style>
  <w:style w:type="numbering" w:styleId="WW8Num2">
    <w:name w:val="WW8Num2"/>
    <w:qFormat/>
  </w:style>
  <w:style w:type="numbering" w:styleId="WW8Num3">
    <w:name w:val="WW8Num3"/>
    <w:qFormat/>
  </w:style>
  <w:style w:type="numbering" w:styleId="WW8Num4">
    <w:name w:val="WW8Num4"/>
    <w:qFormat/>
  </w:style>
  <w:style w:type="numbering" w:styleId="WW8Num5">
    <w:name w:val="WW8Num5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144.a" TargetMode="External"/><Relationship Id="rId4" Type="http://schemas.openxmlformats.org/officeDocument/2006/relationships/hyperlink" Target="http://www.nevo.co.il/law/70301/144.b" TargetMode="External"/><Relationship Id="rId5" Type="http://schemas.openxmlformats.org/officeDocument/2006/relationships/hyperlink" Target="http://www.nevo.co.il/law/70301/338.1" TargetMode="External"/><Relationship Id="rId6" Type="http://schemas.openxmlformats.org/officeDocument/2006/relationships/hyperlink" Target="http://www.nevo.co.il/law/70301/338.5" TargetMode="External"/><Relationship Id="rId7" Type="http://schemas.openxmlformats.org/officeDocument/2006/relationships/hyperlink" Target="http://www.nevo.co.il/law/70301/338.1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case/7670282" TargetMode="External"/><Relationship Id="rId10" Type="http://schemas.openxmlformats.org/officeDocument/2006/relationships/hyperlink" Target="http://www.nevo.co.il/case/5061437" TargetMode="External"/><Relationship Id="rId11" Type="http://schemas.openxmlformats.org/officeDocument/2006/relationships/hyperlink" Target="http://www.nevo.co.il/case/6135887" TargetMode="External"/><Relationship Id="rId12" Type="http://schemas.openxmlformats.org/officeDocument/2006/relationships/hyperlink" Target="http://www.nevo.co.il/case/5506314" TargetMode="External"/><Relationship Id="rId13" Type="http://schemas.openxmlformats.org/officeDocument/2006/relationships/hyperlink" Target="http://www.nevo.co.il/case/3938637" TargetMode="External"/><Relationship Id="rId14" Type="http://schemas.openxmlformats.org/officeDocument/2006/relationships/hyperlink" Target="http://www.nevo.co.il/case/557676" TargetMode="External"/><Relationship Id="rId15" Type="http://schemas.openxmlformats.org/officeDocument/2006/relationships/hyperlink" Target="http://www.nevo.co.il/case/6724712" TargetMode="External"/><Relationship Id="rId16" Type="http://schemas.openxmlformats.org/officeDocument/2006/relationships/hyperlink" Target="http://www.nevo.co.il/case/219673" TargetMode="External"/><Relationship Id="rId17" Type="http://schemas.openxmlformats.org/officeDocument/2006/relationships/hyperlink" Target="http://www.nevo.co.il/law/70301/144.a" TargetMode="External"/><Relationship Id="rId18" Type="http://schemas.openxmlformats.org/officeDocument/2006/relationships/hyperlink" Target="http://www.nevo.co.il/law/70301/144.b" TargetMode="External"/><Relationship Id="rId19" Type="http://schemas.openxmlformats.org/officeDocument/2006/relationships/hyperlink" Target="http://www.nevo.co.il/law/70301/338.5" TargetMode="External"/><Relationship Id="rId20" Type="http://schemas.openxmlformats.org/officeDocument/2006/relationships/hyperlink" Target="http://www.nevo.co.il/law/70301" TargetMode="External"/><Relationship Id="rId21" Type="http://schemas.openxmlformats.org/officeDocument/2006/relationships/hyperlink" Target="http://www.nevo.co.il/advertisements/nevo-100.doc" TargetMode="External"/><Relationship Id="rId22" Type="http://schemas.openxmlformats.org/officeDocument/2006/relationships/header" Target="header1.xml"/><Relationship Id="rId23" Type="http://schemas.openxmlformats.org/officeDocument/2006/relationships/footer" Target="footer1.xml"/><Relationship Id="rId24" Type="http://schemas.openxmlformats.org/officeDocument/2006/relationships/numbering" Target="numbering.xml"/><Relationship Id="rId25" Type="http://schemas.openxmlformats.org/officeDocument/2006/relationships/fontTable" Target="fontTable.xml"/><Relationship Id="rId26" Type="http://schemas.openxmlformats.org/officeDocument/2006/relationships/settings" Target="settings.xml"/><Relationship Id="rId27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2017-01-30T13:36:00Z</dcterms:created>
  <dc:creator> </dc:creator>
  <dc:description/>
  <cp:keywords/>
  <dc:language>en-IL</dc:language>
  <cp:lastModifiedBy>hofit</cp:lastModifiedBy>
  <dcterms:modified xsi:type="dcterms:W3CDTF">2017-01-30T13:36:00Z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EE">
    <vt:lpwstr>סאמר עדוי</vt:lpwstr>
  </property>
  <property fmtid="{D5CDD505-2E9C-101B-9397-08002B2CF9AE}" pid="4" name="CASESLISTTMP1">
    <vt:lpwstr>7670282;5061437;6135887;5506314;3938637;557676;6724712;219673</vt:lpwstr>
  </property>
  <property fmtid="{D5CDD505-2E9C-101B-9397-08002B2CF9AE}" pid="5" name="CITY">
    <vt:lpwstr>נצ'</vt:lpwstr>
  </property>
  <property fmtid="{D5CDD505-2E9C-101B-9397-08002B2CF9AE}" pid="6" name="DATE">
    <vt:lpwstr>20160628</vt:lpwstr>
  </property>
  <property fmtid="{D5CDD505-2E9C-101B-9397-08002B2CF9AE}" pid="7" name="ISABSTRACT">
    <vt:lpwstr>Y</vt:lpwstr>
  </property>
  <property fmtid="{D5CDD505-2E9C-101B-9397-08002B2CF9AE}" pid="8" name="JUDGE">
    <vt:lpwstr>ג'ורג' אזולאי</vt:lpwstr>
  </property>
  <property fmtid="{D5CDD505-2E9C-101B-9397-08002B2CF9AE}" pid="9" name="LAWLISTTMP1">
    <vt:lpwstr>70301/338.1;144.a;144.b;338.5</vt:lpwstr>
  </property>
  <property fmtid="{D5CDD505-2E9C-101B-9397-08002B2CF9AE}" pid="10" name="LAWYER">
    <vt:lpwstr>שני אגוזי;אחמד מסרי</vt:lpwstr>
  </property>
  <property fmtid="{D5CDD505-2E9C-101B-9397-08002B2CF9AE}" pid="11" name="NEWPARTA">
    <vt:lpwstr>20722</vt:lpwstr>
  </property>
  <property fmtid="{D5CDD505-2E9C-101B-9397-08002B2CF9AE}" pid="12" name="NEWPARTB">
    <vt:lpwstr>03</vt:lpwstr>
  </property>
  <property fmtid="{D5CDD505-2E9C-101B-9397-08002B2CF9AE}" pid="13" name="NEWPARTC">
    <vt:lpwstr>14</vt:lpwstr>
  </property>
  <property fmtid="{D5CDD505-2E9C-101B-9397-08002B2CF9AE}" pid="14" name="NEWPROC">
    <vt:lpwstr>תפ</vt:lpwstr>
  </property>
  <property fmtid="{D5CDD505-2E9C-101B-9397-08002B2CF9AE}" pid="15" name="PSAKDIN">
    <vt:lpwstr>גזר-דין</vt:lpwstr>
  </property>
  <property fmtid="{D5CDD505-2E9C-101B-9397-08002B2CF9AE}" pid="16" name="TYPE">
    <vt:lpwstr>2</vt:lpwstr>
  </property>
  <property fmtid="{D5CDD505-2E9C-101B-9397-08002B2CF9AE}" pid="17" name="TYPE_ABS_DATE">
    <vt:lpwstr>390020160628</vt:lpwstr>
  </property>
  <property fmtid="{D5CDD505-2E9C-101B-9397-08002B2CF9AE}" pid="18" name="TYPE_N_DATE">
    <vt:lpwstr>39020160628</vt:lpwstr>
  </property>
  <property fmtid="{D5CDD505-2E9C-101B-9397-08002B2CF9AE}" pid="19" name="WORDNUMPAGES">
    <vt:lpwstr>5</vt:lpwstr>
  </property>
</Properties>
</file>