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2073-09-16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אורן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מרשק מרום</w:t>
            </w:r>
            <w:r>
              <w:rPr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חגית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זכאי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סלע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u w:val="none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u w:val="non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u w:val="non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u w:val="none"/>
                </w:rPr>
                <w:t>338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u w:val="none"/>
                </w:rPr>
                <w:t>338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u w:val="non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u w:val="none"/>
                </w:rPr>
                <w:t>338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)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u w:val="none"/>
                </w:rPr>
                <w:t>5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)</w:t>
              </w:r>
            </w:hyperlink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color w:val="0000FF"/>
                <w:sz w:val="32"/>
                <w:szCs w:val="32"/>
              </w:rPr>
            </w:pPr>
            <w:r>
              <w:rPr>
                <w:rFonts w:cs="FrankRuehl" w:ascii="Arial" w:hAnsi="Arial"/>
                <w:color w:val="0000FF"/>
                <w:sz w:val="32"/>
                <w:szCs w:val="32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bookmarkStart w:id="9" w:name="Links_Start"/>
            <w:bookmarkEnd w:id="9"/>
            <w:r>
              <w:rPr>
                <w:rFonts w:ascii="FrankRuehl" w:hAnsi="FrankRuehl" w:cs="FrankRuehl"/>
                <w:rtl w:val="true"/>
              </w:rPr>
              <w:t>ספרות</w:t>
            </w:r>
            <w:r>
              <w:rPr>
                <w:rFonts w:cs="FrankRuehl" w:ascii="FrankRuehl" w:hAnsi="FrankRuehl"/>
                <w:rtl w:val="true"/>
              </w:rPr>
              <w:t>: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Style w:val="Hyperlink"/>
                <w:rFonts w:ascii="FrankRuehl" w:hAnsi="FrankRuehl" w:cs="FrankRuehl"/>
                <w:u w:val="none"/>
              </w:rPr>
            </w:pPr>
            <w:hyperlink r:id="rId8"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 xml:space="preserve">יעקב קדמי  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u w:val="none"/>
                  <w:rtl w:val="true"/>
                </w:rPr>
                <w:t xml:space="preserve">על הדין בפלילים 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u w:val="none"/>
                  <w:rtl w:val="true"/>
                </w:rPr>
                <w:t xml:space="preserve">- </w:t>
              </w:r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u w:val="none"/>
                  <w:rtl w:val="true"/>
                </w:rPr>
                <w:t xml:space="preserve">חוק העונשין 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u w:val="none"/>
                  <w:rtl w:val="true"/>
                </w:rPr>
                <w:t xml:space="preserve">- </w:t>
              </w:r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u w:val="none"/>
                  <w:rtl w:val="true"/>
                </w:rPr>
                <w:t xml:space="preserve">חלק שני 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Style w:val="Hyperlink"/>
              </w:rPr>
            </w:pPr>
            <w:hyperlink r:id="rId9">
              <w:r>
                <w:rPr>
                  <w:rtl w:val="true"/>
                </w:rPr>
              </w:r>
            </w:hyperlink>
            <w:bookmarkStart w:id="10" w:name="Links_End"/>
            <w:bookmarkStart w:id="11" w:name="Links_End"/>
            <w:bookmarkEnd w:id="11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sz w:val="32"/>
                <w:szCs w:val="32"/>
              </w:rPr>
            </w:pPr>
            <w:r>
              <w:rPr>
                <w:rFonts w:cs="FrankRuehl" w:ascii="FrankRuehl" w:hAnsi="FrankRuehl"/>
                <w:color w:val="0000FF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0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338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338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338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12" w:name="ABSTRACT_START"/>
      <w:bookmarkEnd w:id="12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פזיזות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ורשלנות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bookmarkStart w:id="13" w:name="ABSTRACT_END"/>
      <w:bookmarkEnd w:id="13"/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24.8.16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צאלח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פועלים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החטיבה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מזרחית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טרקטורון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החטיבה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ברזל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האוויר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לקראתו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האוויר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החטיבה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החטיבה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האוויר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האוויר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חווארה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הקליע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חווארה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דצמבר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כמצוות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בבגיר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עשר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דצמבר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שאן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לילי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כמתפקדת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ומנהלת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לאומי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בהתמודדות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תיכונית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בצמצום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פוליטיות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ואידיאולוגיות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חונך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העתיקה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שמשלמת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התנכלויות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המתנגדות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אוכלוסייה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למבחני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הופסק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עיכוב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גיוסו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ממידע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ושומרון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והסביר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בהתייחסותו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בטרקטורון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אוויר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בכספו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ובידיעת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נבהל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לווסת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כעסו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האוויר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אימפולסיבי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ותוקפני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האוויר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רגעית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וסתמית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ובדיעבד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מלדווח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למשטרה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התחדדה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וחומרתם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מווסת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מביטויי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אמפתיה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והנוסעים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ההתבגרות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וחברתיות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אידיאולוגיים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ההערכה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נחשף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לאווירת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וחיכוך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שהשפיעה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עיצוב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קודמת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שהסנקציות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מתמודדים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חידדו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ההכרה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אימפולסיבי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מווסת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בכעסים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והסיכון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כשהתערבות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וכאופציה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1.2.17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נבחנו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ושילובו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גיוסו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לצבא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פטור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ובתיאום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המפקדים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החופשות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התלבטו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קוגניטיביות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ויכולות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בצבא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מאידך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דפוסיו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האימפולסיביים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מקיומה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גיוסו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לצבא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בתפקודו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להרשיע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מטעם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התביעה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10.5.15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והתחייבות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מטעם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סבו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אברהם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תולדות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ששרדה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כטייס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תרומתו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עיסוקו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בתעשיה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האזרחית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בטכנולוגיה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מתקדמת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בנכדו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אזולאי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חינוך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בסיכון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מחנכו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היטב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גיוסו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דוגמא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במרכזם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צהריים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נוסעיה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פירטה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האוויר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רשלני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ופועלים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מהנוסעים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האוויר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ובדרכי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בהתייחסותה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לדפוסיו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האימפולסיביים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והתוקפניים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לווסת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דחפיו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להחלטתו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אוויר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לביטויי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האמפתיה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הנמוכים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הקורבנית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שהציג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לגישתה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ויסות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וקביעות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להרשיע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המופיעים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לנתוני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הטרקטורון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אוויר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צעצוע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להדגיש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הנאשם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וברגיל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בעורך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סובייקטיבית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באזהרה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28.8.16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2.10.16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גבעות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פורע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בצבא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אימפולסיבית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הוסיף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Arial" w:ascii="Calibri" w:hAnsi="Calibri"/>
          <w:sz w:val="22"/>
          <w:szCs w:val="22"/>
          <w:rtl w:val="true"/>
        </w:rPr>
        <w:tab/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המשתמשים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כשעסקינן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אוויר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מתמשכת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שחלפה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הסכנה</w:t>
      </w:r>
      <w:r>
        <w:rPr>
          <w:rFonts w:cs="Calibri" w:ascii="Calibri" w:hAnsi="Calibri"/>
          <w:rtl w:val="true"/>
        </w:rPr>
        <w:t xml:space="preserve">" –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מושכלת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ייאמר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פועלים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פיסית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האוויר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ספרו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hyperlink r:id="rId22">
        <w:r>
          <w:rPr>
            <w:rStyle w:val="Hyperlink"/>
            <w:rFonts w:ascii="Calibri" w:hAnsi="Calibri" w:cs="Calibri"/>
            <w:b/>
            <w:b/>
            <w:bCs/>
            <w:rtl w:val="true"/>
          </w:rPr>
          <w:t>קדמי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>על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>הדין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>בפלילים</w:t>
        </w:r>
        <w:r>
          <w:rPr>
            <w:rStyle w:val="Hyperlink"/>
            <w:rFonts w:cs="Calibri" w:ascii="Calibri" w:hAnsi="Calibri"/>
            <w:b/>
            <w:bCs/>
            <w:rtl w:val="true"/>
          </w:rPr>
          <w:t>"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מהדורת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2006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1316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לשינויים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המתחייבים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/>
      </w:pP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14534-06-13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ירושלים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מדבוח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18.2.15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וסיכן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/>
      </w:pP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2168/11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איגור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12.9.11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נופך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רשלני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שהמתאמנים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האימון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והדיח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רשלני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כשמוסיפים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הנלוות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/>
      </w:pP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23274-03-14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6.5.15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כמאבטחת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והחזיקה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העבודה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ושלושתן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מחברותיה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חוצצת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הרצפה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ושאיפתה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ללימודים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אקדמיים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החריגות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במאבקה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ההישרדותי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מפסק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החריגות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rtl w:val="true"/>
        </w:rPr>
        <w:tab/>
        <w:tab/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28340-08-11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ירושלים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20.7.15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כמאבטח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כשהתפתח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ממוסמר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ונזקק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מאומצים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להרחיב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להיתקל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לאימוץ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200"/>
        <w:ind w:hanging="720" w:start="713" w:end="0"/>
        <w:jc w:val="both"/>
        <w:rPr>
          <w:rFonts w:ascii="David" w:hAnsi="David" w:cs="David"/>
        </w:rPr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הולם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אשר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מאסר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על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תנאי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ועד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</w:t>
      </w:r>
      <w:r>
        <w:rPr>
          <w:rFonts w:ascii="David" w:hAnsi="David"/>
          <w:u w:val="single"/>
          <w:rtl w:val="true"/>
        </w:rPr>
        <w:t xml:space="preserve"> – </w:t>
      </w:r>
      <w:r>
        <w:rPr>
          <w:rFonts w:cs="David" w:ascii="David" w:hAnsi="David"/>
          <w:u w:val="single"/>
        </w:rPr>
        <w:t>10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מאסר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בפועל</w:t>
      </w:r>
      <w:r>
        <w:rPr>
          <w:rFonts w:cs="David" w:ascii="David" w:hAnsi="David"/>
          <w:u w:val="single"/>
          <w:rtl w:val="true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  <w:tab/>
      </w:r>
      <w:r>
        <w:rPr>
          <w:rFonts w:ascii="David" w:hAnsi="David"/>
          <w:rtl w:val="true"/>
        </w:rPr>
        <w:t>טיעוניו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מבוססים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לשיטתו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שנדחתה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בחנתי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שעיקרם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השינוי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העמוקה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והמוטיבציה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הגבוהה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צבאי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שוכנעתי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בגורמים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לחריגה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יליד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דצמבר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1997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הסתבך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פציעה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שזרק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פלסטינאית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זיתים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בשטח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צבאי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סגור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לנוער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הלוי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10.5.15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התלבטות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החליטה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לפתוח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הבוגרים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בצבא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במפורש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ולבטיו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להרתיע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מלשוב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ולנהוג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בדפוס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אימפולסיבי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מווסת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כמתואר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הנוכחי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קורבנית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טמון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התלבט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בהמלצתו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בשאלת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מסויגת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  <w:tab/>
      </w:r>
      <w:r>
        <w:rPr>
          <w:rFonts w:ascii="David" w:hAnsi="David"/>
          <w:rtl w:val="true"/>
        </w:rPr>
        <w:t>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העומדים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שמקומן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  <w:tab/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שאינן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לזקוף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המיידית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במיוחס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כשנראה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תובנה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ואימפולסיבי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לתמיכת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תמיכה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שהתקבלה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המגורים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תפקודיות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ושאיפות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כיום אין מנוס אלא לקבוע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להסתבכויותיו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והתנהלותו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העבריינים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הסלימו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הנוכחי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השפעה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תכניותיו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לעתיד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ומחצה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28.8.16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2.10.16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–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בתנאי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מלא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  <w:tab/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וראויה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מיקומו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גוזרת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מרכז יום לקשיש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סירקין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בפתח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תקווה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15.8.17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בחוות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4.6.17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שהעתק ממנה נמסר לנאשם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מובהר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לעדכן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בכתובת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בדרישות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המסגרת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צאלח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1.11.17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Fonts w:cs="Calibri" w:ascii="Calibri" w:hAnsi="Calibri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תיידע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ותמסור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למזכירות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לאלתר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הובהר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הטרקטורון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ולנוסעים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במונית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הערובות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שהופקדו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להתייצבות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עיכוב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ימים</w:t>
      </w:r>
      <w:r>
        <w:rPr>
          <w:rFonts w:cs="Calibri" w:ascii="Calibri" w:hAnsi="Calibri"/>
          <w:b/>
          <w:bCs/>
          <w:u w:val="single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Calibri"/>
          <w:u w:val="single"/>
          <w:rtl w:val="true"/>
        </w:rPr>
        <w:t>המזכירות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תעביר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העתק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מגזר</w:t>
      </w:r>
      <w:r>
        <w:rPr>
          <w:rFonts w:cs="Calibri" w:ascii="Calibri" w:hAnsi="Calibri"/>
          <w:u w:val="single"/>
          <w:rtl w:val="true"/>
        </w:rPr>
        <w:t>-</w:t>
      </w:r>
      <w:r>
        <w:rPr>
          <w:rFonts w:ascii="Calibri" w:hAnsi="Calibri" w:cs="Calibri"/>
          <w:u w:val="single"/>
          <w:rtl w:val="true"/>
        </w:rPr>
        <w:t>הדין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לממונה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עבודות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השירות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ולשירות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המבחן</w:t>
      </w:r>
      <w:r>
        <w:rPr>
          <w:rFonts w:cs="Calibri" w:ascii="Calibri" w:hAnsi="Calibri"/>
          <w:u w:val="single"/>
          <w:rtl w:val="true"/>
        </w:rPr>
        <w:t>.</w:t>
      </w:r>
      <w:r>
        <w:rPr>
          <w:rFonts w:cs="Calibri" w:ascii="Calibri" w:hAnsi="Calibri"/>
          <w:rtl w:val="true"/>
        </w:rPr>
        <w:tab/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2073-09-16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משה אורן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i.a" TargetMode="External"/><Relationship Id="rId5" Type="http://schemas.openxmlformats.org/officeDocument/2006/relationships/hyperlink" Target="http://www.nevo.co.il/law/70301/338" TargetMode="External"/><Relationship Id="rId6" Type="http://schemas.openxmlformats.org/officeDocument/2006/relationships/hyperlink" Target="http://www.nevo.co.il/law/70301/338.1" TargetMode="External"/><Relationship Id="rId7" Type="http://schemas.openxmlformats.org/officeDocument/2006/relationships/hyperlink" Target="http://www.nevo.co.il/law/70301/338.a.5" TargetMode="External"/><Relationship Id="rId8" Type="http://schemas.openxmlformats.org/officeDocument/2006/relationships/hyperlink" Target="http://www.nevo.co.il/safrut/bookgroup/4004" TargetMode="External"/><Relationship Id="rId9" Type="http://schemas.openxmlformats.org/officeDocument/2006/relationships/hyperlink" Target="http://www.nevo.co.il/safrut/bookgroup/4004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c.a" TargetMode="External"/><Relationship Id="rId12" Type="http://schemas.openxmlformats.org/officeDocument/2006/relationships/hyperlink" Target="http://www.nevo.co.il/law/70301/40i.a" TargetMode="External"/><Relationship Id="rId13" Type="http://schemas.openxmlformats.org/officeDocument/2006/relationships/hyperlink" Target="http://www.nevo.co.il/law/70301/338" TargetMode="External"/><Relationship Id="rId14" Type="http://schemas.openxmlformats.org/officeDocument/2006/relationships/hyperlink" Target="http://www.nevo.co.il/law/70301/338.1" TargetMode="External"/><Relationship Id="rId15" Type="http://schemas.openxmlformats.org/officeDocument/2006/relationships/hyperlink" Target="http://www.nevo.co.il/law/70301/338.a.5" TargetMode="External"/><Relationship Id="rId16" Type="http://schemas.openxmlformats.org/officeDocument/2006/relationships/hyperlink" Target="http://www.nevo.co.il/law/70301/338.a.5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c.a" TargetMode="External"/><Relationship Id="rId20" Type="http://schemas.openxmlformats.org/officeDocument/2006/relationships/hyperlink" Target="http://www.nevo.co.il/law/70301/40i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safrut/bookgroup/4004" TargetMode="External"/><Relationship Id="rId23" Type="http://schemas.openxmlformats.org/officeDocument/2006/relationships/hyperlink" Target="http://www.nevo.co.il/case/7670282" TargetMode="External"/><Relationship Id="rId24" Type="http://schemas.openxmlformats.org/officeDocument/2006/relationships/hyperlink" Target="http://www.nevo.co.il/law/70301/338.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5777049" TargetMode="External"/><Relationship Id="rId27" Type="http://schemas.openxmlformats.org/officeDocument/2006/relationships/hyperlink" Target="http://www.nevo.co.il/law/70301/338.a.5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13048734" TargetMode="External"/><Relationship Id="rId30" Type="http://schemas.openxmlformats.org/officeDocument/2006/relationships/hyperlink" Target="http://www.nevo.co.il/case/2801856" TargetMode="External"/><Relationship Id="rId31" Type="http://schemas.openxmlformats.org/officeDocument/2006/relationships/hyperlink" Target="http://www.nevo.co.il/law/70301/338.a.5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338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2022-08-31T13:40:00Z</dcterms:created>
  <dc:creator> </dc:creator>
  <dc:description/>
  <cp:keywords/>
  <dc:language>en-IL</dc:language>
  <cp:lastModifiedBy>h1</cp:lastModifiedBy>
  <dcterms:modified xsi:type="dcterms:W3CDTF">2022-08-31T13:40:00Z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EE">
    <vt:lpwstr>משה אורן</vt:lpwstr>
  </property>
  <property fmtid="{D5CDD505-2E9C-101B-9397-08002B2CF9AE}" pid="4" name="BOOKGROUPTMP1">
    <vt:lpwstr>4004:2</vt:lpwstr>
  </property>
  <property fmtid="{D5CDD505-2E9C-101B-9397-08002B2CF9AE}" pid="5" name="CASESLISTTMP1">
    <vt:lpwstr>7670282;5777049;13048734;2801856</vt:lpwstr>
  </property>
  <property fmtid="{D5CDD505-2E9C-101B-9397-08002B2CF9AE}" pid="6" name="CITY">
    <vt:lpwstr>מרכז</vt:lpwstr>
  </property>
  <property fmtid="{D5CDD505-2E9C-101B-9397-08002B2CF9AE}" pid="7" name="DATE">
    <vt:lpwstr>20170709</vt:lpwstr>
  </property>
  <property fmtid="{D5CDD505-2E9C-101B-9397-08002B2CF9AE}" pid="8" name="ISABSTRACT">
    <vt:lpwstr>Y</vt:lpwstr>
  </property>
  <property fmtid="{D5CDD505-2E9C-101B-9397-08002B2CF9AE}" pid="9" name="JUDGE">
    <vt:lpwstr>דנה מרשק מרום</vt:lpwstr>
  </property>
  <property fmtid="{D5CDD505-2E9C-101B-9397-08002B2CF9AE}" pid="10" name="LAWLISTTMP1">
    <vt:lpwstr>70301/040c.a;040i.a;338;338.1;338.a.5:3</vt:lpwstr>
  </property>
  <property fmtid="{D5CDD505-2E9C-101B-9397-08002B2CF9AE}" pid="11" name="LAWYER">
    <vt:lpwstr>חגית זכאי סלע</vt:lpwstr>
  </property>
  <property fmtid="{D5CDD505-2E9C-101B-9397-08002B2CF9AE}" pid="12" name="NEWPARTA">
    <vt:lpwstr>2073</vt:lpwstr>
  </property>
  <property fmtid="{D5CDD505-2E9C-101B-9397-08002B2CF9AE}" pid="13" name="NEWPARTB">
    <vt:lpwstr>09</vt:lpwstr>
  </property>
  <property fmtid="{D5CDD505-2E9C-101B-9397-08002B2CF9AE}" pid="14" name="NEWPARTC">
    <vt:lpwstr>16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390020170709</vt:lpwstr>
  </property>
  <property fmtid="{D5CDD505-2E9C-101B-9397-08002B2CF9AE}" pid="19" name="TYPE_N_DATE">
    <vt:lpwstr>39020170709</vt:lpwstr>
  </property>
  <property fmtid="{D5CDD505-2E9C-101B-9397-08002B2CF9AE}" pid="20" name="WORDNUMPAGES">
    <vt:lpwstr>11</vt:lpwstr>
  </property>
</Properties>
</file>