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951" w:type="dxa"/>
        <w:jc w:val="start"/>
        <w:tblInd w:w="-20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31"/>
        <w:gridCol w:w="170"/>
        <w:gridCol w:w="753"/>
        <w:gridCol w:w="6056"/>
        <w:gridCol w:w="426"/>
        <w:gridCol w:w="1415"/>
      </w:tblGrid>
      <w:tr>
        <w:trPr>
          <w:trHeight w:val="418" w:hRule="exact"/>
        </w:trPr>
        <w:tc>
          <w:tcPr>
            <w:tcW w:w="301" w:type="dxa"/>
            <w:gridSpan w:val="2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650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301" w:type="dxa"/>
            <w:gridSpan w:val="2"/>
            <w:tcBorders/>
          </w:tcPr>
          <w:p>
            <w:pPr>
              <w:pStyle w:val="Normal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  <w:tc>
          <w:tcPr>
            <w:tcW w:w="7235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32"/>
                <w:sz w:val="32"/>
                <w:szCs w:val="32"/>
                <w:rtl w:val="true"/>
              </w:rPr>
              <w:t>ת</w:t>
            </w:r>
            <w:r>
              <w:rPr>
                <w:rFonts w:cs="FrankRuehl"/>
                <w:sz w:val="32"/>
                <w:szCs w:val="32"/>
                <w:rtl w:val="true"/>
              </w:rPr>
              <w:t>"</w:t>
            </w:r>
            <w:r>
              <w:rPr>
                <w:rFonts w:cs="FrankRuehl"/>
                <w:sz w:val="32"/>
                <w:sz w:val="32"/>
                <w:szCs w:val="32"/>
                <w:rtl w:val="true"/>
              </w:rPr>
              <w:t>פ</w:t>
            </w:r>
            <w:r>
              <w:rPr>
                <w:rFonts w:cs="Times New Roman"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cs="FrankRuehl"/>
                <w:sz w:val="32"/>
                <w:szCs w:val="32"/>
              </w:rPr>
              <w:t>20733-12-22</w:t>
            </w:r>
            <w:r>
              <w:rPr>
                <w:rFonts w:cs="FrankRuehl"/>
                <w:sz w:val="32"/>
                <w:szCs w:val="32"/>
                <w:rtl w:val="true"/>
              </w:rPr>
              <w:t xml:space="preserve"> </w:t>
            </w:r>
            <w:r>
              <w:rPr>
                <w:rFonts w:cs="FrankRuehl"/>
                <w:sz w:val="32"/>
                <w:sz w:val="32"/>
                <w:szCs w:val="32"/>
                <w:rtl w:val="true"/>
              </w:rPr>
              <w:t>מדינת</w:t>
            </w:r>
            <w:r>
              <w:rPr>
                <w:rFonts w:cs="Times New Roman"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cs="FrankRuehl"/>
                <w:sz w:val="32"/>
                <w:sz w:val="32"/>
                <w:szCs w:val="32"/>
                <w:rtl w:val="true"/>
              </w:rPr>
              <w:t>ישראל</w:t>
            </w:r>
            <w:r>
              <w:rPr>
                <w:rFonts w:cs="Times New Roman"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cs="FrankRuehl"/>
                <w:sz w:val="32"/>
                <w:sz w:val="32"/>
                <w:szCs w:val="32"/>
                <w:rtl w:val="true"/>
              </w:rPr>
              <w:t>נ</w:t>
            </w:r>
            <w:r>
              <w:rPr>
                <w:rFonts w:cs="FrankRuehl"/>
                <w:sz w:val="32"/>
                <w:szCs w:val="32"/>
                <w:rtl w:val="true"/>
              </w:rPr>
              <w:t xml:space="preserve">' </w:t>
            </w:r>
            <w:r>
              <w:rPr>
                <w:rFonts w:cs="FrankRuehl"/>
                <w:sz w:val="32"/>
                <w:sz w:val="32"/>
                <w:szCs w:val="32"/>
                <w:rtl w:val="true"/>
              </w:rPr>
              <w:t>חלווה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32"/>
                <w:szCs w:val="32"/>
              </w:rPr>
            </w:pPr>
            <w:r>
              <w:rPr>
                <w:rFonts w:cs="FrankRuehl"/>
                <w:sz w:val="32"/>
                <w:szCs w:val="32"/>
                <w:rtl w:val="true"/>
              </w:rPr>
            </w:r>
          </w:p>
        </w:tc>
        <w:tc>
          <w:tcPr>
            <w:tcW w:w="1415" w:type="dxa"/>
            <w:tcBorders/>
            <w:tcMar>
              <w:start w:w="108" w:type="dxa"/>
              <w:end w:w="108" w:type="dxa"/>
            </w:tcMar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131" w:type="dxa"/>
            <w:tcBorders/>
          </w:tcPr>
          <w:p>
            <w:pPr>
              <w:pStyle w:val="Normal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23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FrankRuehl" w:hAnsi="FrankRuehl" w:cs="FrankRuehl"/>
                <w:sz w:val="32"/>
                <w:sz w:val="32"/>
                <w:szCs w:val="32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FrankRuehl" w:hAnsi="FrankRueh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כב</w:t>
            </w:r>
            <w:r>
              <w:rPr>
                <w:rFonts w:cs="FrankRuehl" w:ascii="FrankRuehl" w:hAnsi="FrankRuehl"/>
                <w:b/>
                <w:bCs/>
                <w:sz w:val="32"/>
                <w:szCs w:val="32"/>
                <w:rtl w:val="true"/>
              </w:rPr>
              <w:t>'</w:t>
            </w:r>
            <w:r>
              <w:rPr>
                <w:rFonts w:cs="FrankRuehl" w:ascii="FrankRuehl" w:hAnsi="FrankRuehl"/>
                <w:b/>
                <w:bCs/>
                <w:sz w:val="32"/>
                <w:szCs w:val="32"/>
                <w:rtl w:val="true"/>
              </w:rPr>
              <w:t xml:space="preserve"> </w:t>
            </w:r>
            <w:r>
              <w:rPr>
                <w:rFonts w:ascii="FrankRuehl" w:hAnsi="FrankRueh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השופט  אילן סלע</w:t>
            </w:r>
          </w:p>
          <w:p>
            <w:pPr>
              <w:pStyle w:val="Normal"/>
              <w:ind w:firstLine="720" w:end="0"/>
              <w:jc w:val="start"/>
              <w:rPr>
                <w:rFonts w:ascii="FrankRuehl" w:hAnsi="FrankRueh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FrankRuehl" w:hAnsi="FrankRuehl"/>
                <w:b/>
                <w:bCs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1" w:type="dxa"/>
            <w:tcBorders/>
          </w:tcPr>
          <w:p>
            <w:pPr>
              <w:pStyle w:val="Normal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</w:tc>
        <w:tc>
          <w:tcPr>
            <w:tcW w:w="923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</w:tc>
        <w:tc>
          <w:tcPr>
            <w:tcW w:w="6056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b/>
                <w:bCs/>
                <w:sz w:val="32"/>
                <w:szCs w:val="32"/>
              </w:rPr>
            </w:pPr>
            <w:r>
              <w:rPr>
                <w:rFonts w:ascii="FrankRuehl" w:hAnsi="FrankRueh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מדינת ישראל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b/>
                <w:bCs/>
                <w:sz w:val="32"/>
                <w:szCs w:val="32"/>
              </w:rPr>
            </w:pPr>
            <w:r>
              <w:rPr>
                <w:rFonts w:ascii="FrankRuehl" w:hAnsi="FrankRueh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באמצעות פרקליטות מחוז ירושלים</w:t>
            </w:r>
            <w:r>
              <w:rPr>
                <w:rFonts w:cs="FrankRuehl" w:ascii="FrankRuehl" w:hAnsi="FrankRuehl"/>
                <w:b/>
                <w:bCs/>
                <w:sz w:val="32"/>
                <w:szCs w:val="32"/>
                <w:rtl w:val="true"/>
              </w:rPr>
              <w:t>(</w:t>
            </w:r>
            <w:r>
              <w:rPr>
                <w:rFonts w:ascii="FrankRuehl" w:hAnsi="FrankRueh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פלילי</w:t>
            </w:r>
            <w:r>
              <w:rPr>
                <w:rFonts w:cs="FrankRuehl" w:ascii="FrankRuehl" w:hAnsi="FrankRuehl"/>
                <w:b/>
                <w:bCs/>
                <w:sz w:val="32"/>
                <w:szCs w:val="32"/>
                <w:rtl w:val="true"/>
              </w:rPr>
              <w:t xml:space="preserve">)                 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ascii="FrankRuehl" w:hAnsi="FrankRueh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ע</w:t>
            </w:r>
            <w:r>
              <w:rPr>
                <w:rFonts w:cs="FrankRuehl" w:ascii="FrankRuehl" w:hAnsi="FrankRuehl"/>
                <w:b/>
                <w:bCs/>
                <w:sz w:val="32"/>
                <w:szCs w:val="32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י ב</w:t>
            </w:r>
            <w:r>
              <w:rPr>
                <w:rFonts w:cs="FrankRuehl" w:ascii="FrankRuehl" w:hAnsi="FrankRuehl"/>
                <w:b/>
                <w:bCs/>
                <w:sz w:val="32"/>
                <w:szCs w:val="32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כ עו</w:t>
            </w:r>
            <w:r>
              <w:rPr>
                <w:rFonts w:cs="FrankRuehl" w:ascii="FrankRuehl" w:hAnsi="FrankRuehl"/>
                <w:b/>
                <w:bCs/>
                <w:sz w:val="32"/>
                <w:szCs w:val="32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 פועה בן טוב</w:t>
            </w:r>
            <w:r>
              <w:rPr>
                <w:rFonts w:ascii="FrankRuehl" w:hAnsi="FrankRuehl" w:cs="FrankRuehl"/>
                <w:sz w:val="32"/>
                <w:sz w:val="32"/>
                <w:szCs w:val="32"/>
                <w:rtl w:val="true"/>
              </w:rPr>
              <w:t xml:space="preserve">                                     </w:t>
            </w:r>
          </w:p>
        </w:tc>
        <w:tc>
          <w:tcPr>
            <w:tcW w:w="1841" w:type="dxa"/>
            <w:gridSpan w:val="2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b/>
                <w:bCs/>
                <w:sz w:val="32"/>
                <w:szCs w:val="32"/>
              </w:rPr>
            </w:pPr>
            <w:r>
              <w:rPr>
                <w:rFonts w:ascii="FrankRuehl" w:hAnsi="FrankRueh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המאשימה</w:t>
            </w:r>
            <w:r>
              <w:rPr>
                <w:rFonts w:ascii="David" w:hAnsi="David"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                                   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FrankRuehl" w:hAnsi="FrankRuehl"/>
                <w:b/>
                <w:bCs/>
                <w:sz w:val="32"/>
                <w:szCs w:val="32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1" w:type="dxa"/>
            <w:tcBorders/>
          </w:tcPr>
          <w:p>
            <w:pPr>
              <w:pStyle w:val="Normal"/>
              <w:rPr>
                <w:rFonts w:ascii="FrankRuehl" w:hAnsi="FrankRueh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FrankRuehl" w:hAnsi="FrankRuehl"/>
                <w:b/>
                <w:bCs/>
                <w:sz w:val="32"/>
                <w:szCs w:val="32"/>
                <w:rtl w:val="true"/>
              </w:rPr>
            </w:r>
          </w:p>
        </w:tc>
        <w:tc>
          <w:tcPr>
            <w:tcW w:w="923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z w:val="32"/>
                <w:szCs w:val="32"/>
              </w:rPr>
            </w:pPr>
            <w:r>
              <w:rPr>
                <w:rFonts w:ascii="FrankRuehl" w:hAnsi="FrankRueh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1" w:type="dxa"/>
            <w:tcBorders/>
          </w:tcPr>
          <w:p>
            <w:pPr>
              <w:pStyle w:val="Normal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923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6056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FrankRuehl" w:hAnsi="FrankRueh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FrankRuehl" w:hAnsi="FrankRuehl"/>
                <w:b/>
                <w:bCs/>
                <w:sz w:val="32"/>
                <w:szCs w:val="32"/>
              </w:rPr>
              <w:t>1</w:t>
            </w:r>
            <w:r>
              <w:rPr>
                <w:rFonts w:cs="FrankRuehl" w:ascii="FrankRuehl" w:hAnsi="FrankRuehl"/>
                <w:b/>
                <w:bCs/>
                <w:sz w:val="32"/>
                <w:szCs w:val="32"/>
                <w:rtl w:val="true"/>
              </w:rPr>
              <w:t>.</w:t>
            </w:r>
            <w:r>
              <w:rPr>
                <w:rFonts w:ascii="FrankRuehl" w:hAnsi="FrankRueh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מחמד חלווה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b/>
                <w:bCs/>
                <w:sz w:val="32"/>
                <w:szCs w:val="32"/>
              </w:rPr>
            </w:pPr>
            <w:r>
              <w:rPr>
                <w:rFonts w:ascii="FrankRuehl" w:hAnsi="FrankRueh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ע</w:t>
            </w:r>
            <w:r>
              <w:rPr>
                <w:rFonts w:cs="FrankRuehl" w:ascii="FrankRuehl" w:hAnsi="FrankRuehl"/>
                <w:b/>
                <w:bCs/>
                <w:sz w:val="32"/>
                <w:szCs w:val="32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י ב</w:t>
            </w:r>
            <w:r>
              <w:rPr>
                <w:rFonts w:cs="FrankRuehl" w:ascii="FrankRuehl" w:hAnsi="FrankRuehl"/>
                <w:b/>
                <w:bCs/>
                <w:sz w:val="32"/>
                <w:szCs w:val="32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כ עו</w:t>
            </w:r>
            <w:r>
              <w:rPr>
                <w:rFonts w:cs="FrankRuehl" w:ascii="FrankRuehl" w:hAnsi="FrankRuehl"/>
                <w:b/>
                <w:bCs/>
                <w:sz w:val="32"/>
                <w:szCs w:val="32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 חאלד מחאג</w:t>
            </w:r>
            <w:r>
              <w:rPr>
                <w:rFonts w:cs="FrankRuehl" w:ascii="FrankRuehl" w:hAnsi="FrankRuehl"/>
                <w:b/>
                <w:bCs/>
                <w:sz w:val="32"/>
                <w:szCs w:val="32"/>
                <w:rtl w:val="true"/>
              </w:rPr>
              <w:t>'</w:t>
            </w:r>
            <w:r>
              <w:rPr>
                <w:rFonts w:ascii="FrankRuehl" w:hAnsi="FrankRueh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נה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FrankRuehl" w:hAnsi="FrankRuehl"/>
                <w:b/>
                <w:bCs/>
                <w:sz w:val="32"/>
                <w:szCs w:val="32"/>
              </w:rPr>
              <w:t>2</w:t>
            </w:r>
            <w:r>
              <w:rPr>
                <w:rFonts w:cs="FrankRuehl" w:ascii="FrankRuehl" w:hAnsi="FrankRuehl"/>
                <w:b/>
                <w:bCs/>
                <w:sz w:val="32"/>
                <w:szCs w:val="32"/>
                <w:rtl w:val="true"/>
              </w:rPr>
              <w:t>.</w:t>
            </w:r>
            <w:r>
              <w:rPr>
                <w:rFonts w:ascii="FrankRuehl" w:hAnsi="FrankRueh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מחמד עבד אל לטיף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b/>
                <w:bCs/>
                <w:sz w:val="32"/>
                <w:szCs w:val="32"/>
              </w:rPr>
            </w:pPr>
            <w:r>
              <w:rPr>
                <w:rFonts w:ascii="FrankRuehl" w:hAnsi="FrankRueh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ע</w:t>
            </w:r>
            <w:r>
              <w:rPr>
                <w:rFonts w:cs="FrankRuehl" w:ascii="FrankRuehl" w:hAnsi="FrankRuehl"/>
                <w:b/>
                <w:bCs/>
                <w:sz w:val="32"/>
                <w:szCs w:val="32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י ב</w:t>
            </w:r>
            <w:r>
              <w:rPr>
                <w:rFonts w:cs="FrankRuehl" w:ascii="FrankRuehl" w:hAnsi="FrankRuehl"/>
                <w:b/>
                <w:bCs/>
                <w:sz w:val="32"/>
                <w:szCs w:val="32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כ עו</w:t>
            </w:r>
            <w:r>
              <w:rPr>
                <w:rFonts w:cs="FrankRuehl" w:ascii="FrankRuehl" w:hAnsi="FrankRuehl"/>
                <w:b/>
                <w:bCs/>
                <w:sz w:val="32"/>
                <w:szCs w:val="32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 חמזה קוטינה</w:t>
            </w:r>
          </w:p>
        </w:tc>
        <w:tc>
          <w:tcPr>
            <w:tcW w:w="1841" w:type="dxa"/>
            <w:gridSpan w:val="2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b/>
                <w:bCs/>
                <w:sz w:val="32"/>
                <w:szCs w:val="32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b/>
                <w:bCs/>
                <w:sz w:val="32"/>
                <w:szCs w:val="32"/>
              </w:rPr>
            </w:pPr>
            <w:r>
              <w:rPr>
                <w:rFonts w:ascii="FrankRuehl" w:hAnsi="FrankRueh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הנאשמים                                            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eastAsia="FrankRuehl" w:cs="FrankRuehl" w:ascii="FrankRuehl" w:hAnsi="FrankRuehl"/>
                <w:sz w:val="32"/>
                <w:szCs w:val="32"/>
                <w:rtl w:val="true"/>
              </w:rPr>
              <w:t xml:space="preserve">                                  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152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274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3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275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329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8">
        <w:r>
          <w:rPr>
            <w:rStyle w:val="Hyperlink"/>
            <w:rFonts w:ascii="FrankRuehl" w:hAnsi="FrankRuehl" w:cs="FrankRuehl"/>
            <w:u w:val="none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תשע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2016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u w:val="none"/>
          </w:rPr>
          <w:t>30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u w:val="none"/>
          </w:rPr>
          <w:t>37</w:t>
        </w:r>
      </w:hyperlink>
    </w:p>
    <w:p>
      <w:pPr>
        <w:pStyle w:val="Normal"/>
        <w:ind w:end="0"/>
        <w:jc w:val="center"/>
        <w:rPr>
          <w:rFonts w:ascii="FrankRuehl" w:hAnsi="FrankRuehl" w:cs="FrankRuehl"/>
          <w:color w:val="0000FF"/>
          <w:sz w:val="36"/>
          <w:szCs w:val="36"/>
        </w:rPr>
      </w:pPr>
      <w:r>
        <w:rPr>
          <w:rFonts w:cs="FrankRuehl" w:ascii="FrankRuehl" w:hAnsi="FrankRuehl"/>
          <w:color w:val="0000FF"/>
          <w:sz w:val="36"/>
          <w:szCs w:val="36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center"/>
        <w:rPr>
          <w:rFonts w:ascii="FrankRuehl" w:hAnsi="FrankRuehl" w:cs="FrankRuehl"/>
          <w:b/>
          <w:bCs/>
          <w:sz w:val="36"/>
          <w:szCs w:val="36"/>
          <w:u w:val="single"/>
        </w:rPr>
      </w:pPr>
      <w:bookmarkStart w:id="9" w:name="PsakDin"/>
      <w:bookmarkEnd w:id="9"/>
      <w:r>
        <w:rPr>
          <w:rFonts w:ascii="FrankRuehl" w:hAnsi="FrankRuehl" w:cs="FrankRuehl"/>
          <w:b/>
          <w:b/>
          <w:bCs/>
          <w:sz w:val="36"/>
          <w:sz w:val="36"/>
          <w:szCs w:val="36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FrankRuehl" w:hAnsi="FrankRuehl" w:cs="FrankRuehl"/>
          <w:b/>
          <w:bCs/>
          <w:sz w:val="36"/>
          <w:szCs w:val="36"/>
          <w:u w:val="single"/>
        </w:rPr>
      </w:pPr>
      <w:r>
        <w:rPr>
          <w:rFonts w:cs="FrankRuehl" w:ascii="FrankRuehl" w:hAnsi="FrankRuehl"/>
          <w:b/>
          <w:bCs/>
          <w:sz w:val="36"/>
          <w:szCs w:val="36"/>
          <w:u w:val="single"/>
          <w:rtl w:val="true"/>
        </w:rPr>
      </w:r>
      <w:bookmarkStart w:id="10" w:name="PsakDin"/>
      <w:bookmarkStart w:id="11" w:name="PsakDin"/>
      <w:bookmarkEnd w:id="11"/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הכרעת הדין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bookmarkStart w:id="12" w:name="ABSTRACT_START"/>
      <w:bookmarkEnd w:id="12"/>
      <w:r>
        <w:rPr>
          <w:rFonts w:ascii="FrankRuehl" w:hAnsi="FrankRuehl" w:cs="FrankRuehl"/>
          <w:sz w:val="28"/>
          <w:sz w:val="28"/>
          <w:szCs w:val="28"/>
          <w:rtl w:val="true"/>
        </w:rPr>
        <w:t>הנאשמים הורשעו על פי הודאתם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שניתנה במסגרת הסדר טיעון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בשתי עבירות של הפרעה לשוטר בנסיבות מחמירות לפי </w:t>
      </w:r>
      <w:hyperlink r:id="rId1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275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א</w:t>
        </w:r>
      </w:hyperlink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ל</w:t>
      </w:r>
      <w:hyperlink r:id="rId1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התשל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–</w:t>
      </w:r>
      <w:r>
        <w:rPr>
          <w:rFonts w:cs="FrankRuehl" w:ascii="FrankRuehl" w:hAnsi="FrankRuehl"/>
          <w:sz w:val="28"/>
          <w:szCs w:val="28"/>
        </w:rPr>
        <w:t>1977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החוק</w:t>
      </w:r>
      <w:r>
        <w:rPr>
          <w:rFonts w:cs="FrankRuehl" w:ascii="FrankRuehl" w:hAnsi="FrankRuehl"/>
          <w:sz w:val="28"/>
          <w:szCs w:val="28"/>
          <w:rtl w:val="true"/>
        </w:rPr>
        <w:t xml:space="preserve">"),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בשלוש עבירות של התפרעות לפי </w:t>
      </w:r>
      <w:hyperlink r:id="rId1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152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בשתי עבירות של תקיפת שוטר בנסיבות מחמירות לפי </w:t>
      </w:r>
      <w:hyperlink r:id="rId1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274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bookmarkStart w:id="13" w:name="ABSTRACT_END"/>
      <w:bookmarkEnd w:id="13"/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בצירוף </w:t>
      </w:r>
      <w:hyperlink r:id="rId1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29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בעבירה של מעשה טרור של חבלה בכוונה מחמירה לפי </w:t>
      </w:r>
      <w:hyperlink r:id="rId1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וסעיף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29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לחוק ובצירוף </w:t>
      </w:r>
      <w:hyperlink r:id="rId1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37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1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המאבק בטרור התשע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ו–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2016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חוק הטרור</w:t>
      </w:r>
      <w:r>
        <w:rPr>
          <w:rFonts w:cs="FrankRuehl" w:ascii="FrankRuehl" w:hAnsi="FrankRuehl"/>
          <w:sz w:val="28"/>
          <w:szCs w:val="28"/>
          <w:rtl w:val="true"/>
        </w:rPr>
        <w:t xml:space="preserve">"),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ובעבירה של פעולה בנשק למטרות טרור לפי </w:t>
      </w:r>
      <w:hyperlink r:id="rId2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30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 הטרור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–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בעבירה של הפרעה לשוטר בנסיבות מחמירות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בשתי עבירות של התפרעות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בשתי עבירות של תקיפת שוטר בנסיבות מחמירות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בעבירה של מעשה טרור של חבלה בכוונה מחמירה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ובשתי עבירות של פעולה בנשק למטרות טרור לפי </w:t>
      </w:r>
      <w:hyperlink r:id="rId2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30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 הטרור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כתב האישום המתוקן מפרט שלושה אישומים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במסגרת האישום הראשון צוין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ביום </w:t>
      </w:r>
      <w:r>
        <w:rPr>
          <w:rFonts w:cs="FrankRuehl" w:ascii="FrankRuehl" w:hAnsi="FrankRuehl"/>
          <w:sz w:val="28"/>
          <w:szCs w:val="28"/>
        </w:rPr>
        <w:t>8.10.22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ביצע עודי תמימי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תמימי</w:t>
      </w:r>
      <w:r>
        <w:rPr>
          <w:rFonts w:cs="FrankRuehl" w:ascii="FrankRuehl" w:hAnsi="FrankRuehl"/>
          <w:sz w:val="28"/>
          <w:szCs w:val="28"/>
          <w:rtl w:val="true"/>
        </w:rPr>
        <w:t xml:space="preserve">")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פיגוע ירי במחסום שועפט בו נהרגה החיילת נועה לזר ואחרים נפצעו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תמימי נמלט למחנה הפליטים שועפט וכוחות הביטחו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ביצעו פעולות לאיתורו בבית קרובי משפחתו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התפתחה התפרעות של עשרות רבות של צעירים אשר בין היתר ידו אבנים על כוחות הביטחון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הגיע עם ח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 ואחרים למקום במטרה להשתתף בהתפרעות והם יידו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 אחד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כחמש אבנים ממרחק כ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50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לעבר כוחות הביטחו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בעודם רעולי פנים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באישום השני צוין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ביום </w:t>
      </w:r>
      <w:r>
        <w:rPr>
          <w:rFonts w:cs="FrankRuehl" w:ascii="FrankRuehl" w:hAnsi="FrankRuehl"/>
          <w:sz w:val="28"/>
          <w:szCs w:val="28"/>
        </w:rPr>
        <w:t>22.10.22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ביצע מוחמד אבו קיטש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אבו קיטש</w:t>
      </w:r>
      <w:r>
        <w:rPr>
          <w:rFonts w:cs="FrankRuehl" w:ascii="FrankRuehl" w:hAnsi="FrankRuehl"/>
          <w:sz w:val="28"/>
          <w:szCs w:val="28"/>
          <w:rtl w:val="true"/>
        </w:rPr>
        <w:t xml:space="preserve">")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פיגוע דקירה בשכונת גבעת המבתר בו נפצע אזרח באורח קשה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סמוך לשעה </w:t>
      </w:r>
      <w:r>
        <w:rPr>
          <w:rFonts w:cs="FrankRuehl" w:ascii="FrankRuehl" w:hAnsi="FrankRuehl"/>
          <w:sz w:val="28"/>
          <w:szCs w:val="28"/>
        </w:rPr>
        <w:t>18:00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באותו יום ערכו כוחות הביטחון פעולות חיפוש בביתו של המפגע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במקום התפתחה התפרעות של עשרות רבות של צעירים אשר ידו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 היתר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מטעני צינור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סלעים ואבנים על כוחות הביטחו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כאשר חלקם רעולי פנים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הנאשמים וח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 שהו באותה העת בניחום אבלים בביתו של תמימי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הנמצא במרחק קצר מביתו של אבו קיטש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נודע להם על פעולות כוחות הביטחון ועל ההתפרעות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השלושה התקדמו לעבר ביתו של אבו קיטש במטרה להשתתף בהתפרעות ולפגוע בכוחות הביטחון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 הגר בסמוך הצטייד במסכת פנים וידה ממרחק כ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50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כשהוא רעול פנים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כחמש אבנים לעבר כוחות הביטחון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ידה שתי אבנים לעבר כוחות הביטחון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אף הוא ממרחק של כ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50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ידה שתי אבנים לעבר כוחות הביטחון ממרחק של כ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60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מטרים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צויין כי במהלך ההתפרעות פגע אחד ממטעני הצינור שהושלכו לעבר כוחות הביטחון סמוך לאחת השוטרות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כתוצאה מכך נכנס עצם לעינה הימנית ולמשך מספר ימים גרם לה לטשטוש הראייה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בנוסף לכך היא סבלה מפגיעה זמנית בשמיעה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באישום השלישי צוין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ביום </w:t>
      </w:r>
      <w:r>
        <w:rPr>
          <w:rFonts w:cs="FrankRuehl" w:ascii="FrankRuehl" w:hAnsi="FrankRuehl"/>
          <w:sz w:val="28"/>
          <w:szCs w:val="28"/>
        </w:rPr>
        <w:t>25.10.22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סמוך לשעה </w:t>
      </w:r>
      <w:r>
        <w:rPr>
          <w:rFonts w:cs="FrankRuehl" w:ascii="FrankRuehl" w:hAnsi="FrankRuehl"/>
          <w:sz w:val="28"/>
          <w:szCs w:val="28"/>
        </w:rPr>
        <w:t>02:00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פעלו כוחות הביטחון בבית קרוב משפחה של תמימי בענתא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הבית</w:t>
      </w:r>
      <w:r>
        <w:rPr>
          <w:rFonts w:cs="FrankRuehl" w:ascii="FrankRuehl" w:hAnsi="FrankRuehl"/>
          <w:sz w:val="28"/>
          <w:szCs w:val="28"/>
          <w:rtl w:val="true"/>
        </w:rPr>
        <w:t xml:space="preserve">").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כיומיים קודם לכן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פנה מחמד עלאן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עלאן</w:t>
      </w:r>
      <w:r>
        <w:rPr>
          <w:rFonts w:cs="FrankRuehl" w:ascii="FrankRuehl" w:hAnsi="FrankRuehl"/>
          <w:sz w:val="28"/>
          <w:szCs w:val="28"/>
          <w:rtl w:val="true"/>
        </w:rPr>
        <w:t xml:space="preserve">")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וביקש ממנו מספר צינורות מתכת לצורך הכנת מטעני צינור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צוין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עבד בבניין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העביר לעלאן מספר צינורות מתכת בידיעה כי עלאן מייצר באמצעותם מטעני צינור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סמוך להגעת הכוחות לבית החלה התפרעות של עשרות אנשים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חלקם רעולי פנים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 נטלו חלק הנאשמים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עלאן וא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החבורה</w:t>
      </w:r>
      <w:r>
        <w:rPr>
          <w:rFonts w:cs="FrankRuehl" w:ascii="FrankRuehl" w:hAnsi="FrankRuehl"/>
          <w:sz w:val="28"/>
          <w:szCs w:val="28"/>
          <w:rtl w:val="true"/>
        </w:rPr>
        <w:t xml:space="preserve">").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בעת הגעת החבורה למקום ההתפרעות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חילק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 ולאחרים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מטעני צינור על מנת שישליכו אותם על כוחות הביטחון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 וא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 השליכו כל אחד מטען צינור לעבר כוחות הביטחון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ידה מספר מטעני צינור לעבר כוחות הביטחון במטרה לפגוע בהם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וזאת ממניע לאומני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אידיאולוגי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תוך יצירת סיכון ממשי לפגיעה חמורה בגופו של אדם באמצעות שימוש 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עלאן השליך אף הוא מטען צינור לעבר כוחות הביטחון וכן נתן לנאשם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מטען צינור אותו הוא השליך לעבר כוחות הביטחון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 זאת במטרה לפגוע בכוחות הביטחון ממניע לאומני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אידיאולוגי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תוך יצירת סיכון ממשי לפגיעה בגופו של אדם באמצעות שימוש 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המטענים שהושלכו התפוצצו סמוך לכוחות הביטחון והאבנים שיודו נפלו בסמוך אליהם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אחד מהמטענים פגע במרחק קצר מאחד השוטרים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נמשך על ידי עמיתו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וכך לא נפגע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מטען נוסף פגע סמוך לרגליו של שוטר אחר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התפוצץ והדף את השוטר לאחור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כתוצאה מכך סבל השוטר מטינטון באוזניו ומפגיעה בשמיעתו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תסקיר שירות מבחן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–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נאשם </w:t>
      </w:r>
      <w:r>
        <w:rPr>
          <w:rFonts w:cs="FrankRuehl" w:ascii="FrankRuehl" w:hAnsi="FrankRuehl"/>
          <w:b/>
          <w:bCs/>
          <w:sz w:val="28"/>
          <w:szCs w:val="28"/>
          <w:u w:val="single"/>
        </w:rPr>
        <w:t>2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נוכח גילו של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הוגש תסקיר שירות מבחן בעניינו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בתסקיר צוין כי הנאשם כבן </w:t>
      </w:r>
      <w:r>
        <w:rPr>
          <w:rFonts w:cs="FrankRuehl" w:ascii="FrankRuehl" w:hAnsi="FrankRuehl"/>
          <w:sz w:val="28"/>
          <w:szCs w:val="28"/>
        </w:rPr>
        <w:t>19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נאלץ לעזוב את מסגרת הלימודים בגיל </w:t>
      </w:r>
      <w:r>
        <w:rPr>
          <w:rFonts w:cs="FrankRuehl" w:ascii="FrankRuehl" w:hAnsi="FrankRuehl"/>
          <w:sz w:val="28"/>
          <w:szCs w:val="28"/>
        </w:rPr>
        <w:t>14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 מצבו הבריאותי של אביו ומצבה הכלכלי הדחוק של משפחתו והלחץ שהופעל עליו בשל כך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קצין המבחן העריך כי תנאי המחסור בהם התבגר הנאשם הותירו בו תחושות עוול ותסכול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גם ציין כי הנאשם אינו מקבל אחריות לעבירות שביצע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מצמצם וממזער את חלקו בביצוען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ועל אף שהנאשם ביטא נכונות להימנ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ממעורבות בפלילים ורצון לחזור ולסייע למשפחה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מתקשה להכיר בנפגעי העבירה ומשליך את התנהלותו על אחרים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 אלה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יוצרים סיכון גבוה למעורבות נוספת בעבירות אלימות כללית ואידיאולוגית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לפיכך בא קצין המבחן בהמלצה להטיל על הנאשם ענישה מוחשית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שתהווה גורם מרתיע ומציב גבול השולל התנהגות אלימה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FF0000"/>
          <w:sz w:val="28"/>
          <w:szCs w:val="28"/>
          <w:u w:val="single"/>
        </w:rPr>
      </w:pPr>
      <w:r>
        <w:rPr>
          <w:rFonts w:cs="FrankRuehl" w:ascii="FrankRuehl" w:hAnsi="FrankRuehl"/>
          <w:color w:val="FF0000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הטיעונים לעונש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בטיעונה לעונש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עמדה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על הערכים המוגנים שנפגעו כתוצאה מפעולותי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 הדגישה כי מדובר בהשתתפות חוזרת ונשנית של הנאשם בהתפרעויות אלימות נגד כוחות הביטחון במטרה לפגוע בהם ולהפריע להם למלא תפקידם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הם היו בדרכם לעצור מחבל שזה עתה רצח חיילת ופצע אזרח באורח קשה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ניתן גם לזהות את ההסלמה מאירוע לאירוע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כן ציינה כי מדובר בפעילות מתוכננת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כשבאישום השני הנאשמים אף הגיעו כשהם מצוידים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השעה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02:00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בלילה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מלמדת כי אין מדובר באירוע ספונטני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טענה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נטלו חלק פעיל ומשמעותי בכל אחת מההתפרעויות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למשל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יידה אבנים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הביא מטעני צינור וחילק אותם ואף יידה בעצמו מטענים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יידה אבנים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יידה מטען ואף סיפק את הצינורות לצורך ייצור המטענים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עמדה על הפסיקה המחמירה כאשר מדובר בשימוש במטעני צינור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מאחר ומדובר בכלי נשק רב עוצמה מסכן חיים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 גם ציינה את העובדה כי מדובר היה במעשים ממניע אידיאולוגי ואת העובדה כי מדובר היה במעשי טרור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ואלו מהווים נסיבה מחמירה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הפנתה לפסקי דין מהן ביקשה ללמד על מדיניות הענישה הנוהגת באירועים שנעשו בנסיבות דומות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וביקש לקבוע מתחם עונש נפרד לכל אישום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לאישום הראשון עונש הנע משמונה ועד עשרים 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לאישום השני עונש הנע משנה ועד שנתיים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ולאישום השלישי עונש הנע מחמש ועד שמונה שנות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בהתייחס לגזר דינו של נאשם אחר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שהיה שותף באירוע שבאישום השלישי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עליו הושתו 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ציינה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גזר הדין אינו חלוט והמאשימה טרם שקלה את עמדתה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ובכל מקרה מדובר במי שנטל חלק רק באישום השלישי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וחלקו באירוע היה מכוח ביצוע בצוותא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ולא יוחסה לו עבירה של פעולה בנשק למטרות טרור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ED7D31"/>
          <w:sz w:val="28"/>
          <w:szCs w:val="28"/>
        </w:rPr>
      </w:pPr>
      <w:r>
        <w:rPr>
          <w:rFonts w:cs="FrankRuehl" w:ascii="FrankRuehl" w:hAnsi="FrankRuehl"/>
          <w:color w:val="ED7D31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באשר למיקום עונשם של הנאשמים בתוך המתחם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ציינה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המאשימה את העובדה כי לנאשם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עבר פלילי הכולל מאסר על תנאי בר הפעלה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והיא עתרה להשית עליו עונש כולל של </w:t>
      </w: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הכולל בתוכו גם את המאסר על תנאי לתקופה של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 וכן מאסר על תנאי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קנס ופיצוי למתלונן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באשר לנאשם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נתבקש להשית עליו עונש מאסר לתקופה של שש וחצי שנים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 על תנאי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קנס ופיצוי למתלונן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מנגד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הדגיש כי לצד חומרת 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ניתן להתעלם מכך שהנאשם בחר להודות בכתב האישום המתוקן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קיבל אחריות מלאה מהיום הראשון ושיתף פעולה עם כל גורמי החקירה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המשטרה והשב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הוא הצטייד בפסקי דין מהם ביקש ללמד כי מדיניות הענישה בעבירות מעין אלו אינה כה חמורה כפי שהציגה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 הפסיקה שהוצגה מתייחסת לנסיבות שונות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דוגמת ביצוע עבירות בשמן מבצע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שומר חומות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ולמקרים בהם מדובר היה על ענישה גם בגין עבירות חמורות יותר דוגמת עבירה של חברות בארגון טרור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FF0000"/>
          <w:sz w:val="28"/>
          <w:szCs w:val="28"/>
        </w:rPr>
      </w:pPr>
      <w:r>
        <w:rPr>
          <w:rFonts w:cs="FrankRuehl" w:ascii="FrankRuehl" w:hAnsi="FrankRuehl"/>
          <w:color w:val="FF0000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בהתייחס לנאשם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צוין עוד כי מדובר בנער צעיר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יליד </w:t>
      </w:r>
      <w:r>
        <w:rPr>
          <w:rFonts w:cs="FrankRuehl" w:ascii="FrankRuehl" w:hAnsi="FrankRuehl"/>
          <w:sz w:val="28"/>
          <w:szCs w:val="28"/>
        </w:rPr>
        <w:t>2001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ועל כן אין למצות עמו את הדין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עברו הפלילי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נטען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אינו בעבירות מסוג זה בהן הוא הורשע בהליך 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מתחם העונש הראוי בנסיבות העניין נע משלושים ועד ארבעים 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לתת את הדעת על כך שהנאשם לא היה מיוזמי ההתפרעויות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והשתתפותו באירוע נשוא האישום הראשון הייתה באופן ספונטני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טען כי יש לקבוע מתחם עונש אחד בשים לב למבחן שהקבע בפסיקה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הקשר שבין האירועים וס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יכות הזמנים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וכפי שעולה מתוך כתב האישום עצמו בחלק הכללי שבו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המתאר את האישומים כמסכת עובדתית אחת נוכח פעילות כוחות הביטחון במחנה הפליטים לאחר הפיגוע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ציין כי האישום השני לא היה מתוכנן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והנאשם הצטרף אליהם מניחום אבלים בו שהה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לא היה רעול פנים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וחלקו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תמצה ביידוי אבנים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גם האישום השלישי אינו מייחס תכנון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משמעותי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ביומיים שלושה לאחר האירוע שבאישום השני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וגם באירוע זה הנאשם לא היה רעול פנים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ואף שהוא תרם לייצור מטענים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ראיה כי מדובר במטענים שיודו על ידו ועל ידי אחרים באירוע 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הוא הצטייד בפסיקה וטען כי הפסיקה שהציגה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עוסקת באירועים חמורים יותר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לדבריו מתחם העונש ההולם את מעשיו של הנאשם נע מ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50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ציין כי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בנאשם צעיר שבעת ביצוע העבירות היא אך בן כשמונה עשרה וחצי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התסקיר השלילי הוא תוצאה של ניהול השיחה בין קצין המבחן לנאשם בהיוועדות חזותית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והדבר גרם לאי הבנה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למעשה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נטען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נוטל אחריות על 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הפנה לנסיבות המשפחתיות הקשות שפורטו בתסקיר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והדגיש את העובדה כי הנאשם נעדר עבר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בסופו של יום הוא ביקש להשית על הנאשם עונש של </w:t>
      </w:r>
      <w:r>
        <w:rPr>
          <w:rFonts w:cs="FrankRuehl" w:ascii="FrankRuehl" w:hAnsi="FrankRuehl"/>
          <w:sz w:val="28"/>
          <w:szCs w:val="28"/>
        </w:rPr>
        <w:t>34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בלבד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ציין כי הוא מאורס וארוסתו ממתינה לשחרורו מהכלא על מנת שהם יוכלו להינשא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ציין כי הוא טעה ולמד את הלקח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ציין כי הוא עובד ומפרנס את משפחתו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דיון והכרעה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FrankRuehl" w:hAnsi="FrankRuehl" w:cs="FrankRuehl"/>
          <w:color w:val="FF0000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מעשי הנאש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ם טומנים בחובם פגיעה בערך המוגן של שמירה על ערך החיים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שלמות הגוף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שלמות הציבור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שלטון החוק והסדר הציבורי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ביידוי אבנים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לא כל שכן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בהשלכת בקבוקי תבערה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ועל אחת כמה וכמה בהשלכת מטעני צינור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גלומה סכנה רבה ויש לראות מעשים אלו בחומרה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אף במקרים בהם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למרבה המזל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הנזק שנגרם הוא אינו כה רב ביחס לנזק שיכול היה להיגרם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אף שאין להמעיט גם בנזק שנגרם במקרה זה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שני שוטרים שנפגעה שמיעתם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ורסיס שחדר לעינה של שוטרת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אחד השוטרים שנפגעו בחר שלא להגיש הצהרת נפגע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כדי להימנע מהצורך לחשוף את הטיפול שהוא עבר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דבר המעיד על הפחד והאימה שהטילו הנאשמים במעשיהם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וטנציאל הנזק אשר טמון בעבירות מסוג זה הוא עצום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ראו למשל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: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hyperlink r:id="rId2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6720/16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פלוני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3.07.17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בכדי נקבע פעמים רבות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יידוי בקבוקי תבערה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ומטעני צינור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שקול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לשימוש בנשק חם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מחייב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ענישה הולמת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ומחמירה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מטעני צינור מהווים למעשה כלי נשק התקפיים רבי עוצמה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והשימוש בהם עלול להביא להרג של רבים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פוטנציאל ההרס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הטמון 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ם רב מאוד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קיימת חובה למגר תופעה זו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ולהחמיר בענישה כנגד מי שמבצע עבירות מעין אלה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לצורך הרתעה ושמירה של ממש על חיי חפים מפשע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2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3491/13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טוויק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15.11.13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2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8017/20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פאדי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22.12.20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FrankRuehl" w:hAnsi="FrankRuehl" w:cs="FrankRuehl"/>
          <w:color w:val="FF0000"/>
          <w:sz w:val="28"/>
          <w:szCs w:val="28"/>
        </w:rPr>
      </w:pPr>
      <w:r>
        <w:rPr>
          <w:rFonts w:cs="FrankRuehl" w:ascii="FrankRuehl" w:hAnsi="FrankRuehl"/>
          <w:color w:val="FF0000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הדברים אמורים ביתר שאת נוכח נסיבותיו המחמירות של העניין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מקום בו המעשים נעשו על רקע אידאולוגי ולאומני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פגיעה בבני אדם וברכושם מתוך שנאה הנובעת רק מהשתייכותם לקבוצת אוכלוסייה מסוימת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תוך ניסיון לפגוע בכוחות הביטחון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במקרה זה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גם לא היה מדובר במפגע בודד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אשר אזר עוז ויידה אבן בודדת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בקבוק תבערה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או מטען צינור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בודד על כוחות הביטחון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דבר חמור כשלעצמו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אלא מדובר במעשה שנעשה כחלק מהתפרעות המונית ומשולהבת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אשר נועדה לאיים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לסכן ולפגוע בכוחות הביטחון ופעילותם החיונית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מדובר במעשה טרור שעל פי הגדרתו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בחוק המאבק בטרור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נועד בין היתר לצד הפגיעה שיש בו בחיי אדם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גם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לעורר פחד או בהלה בציבור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eastAsia="FrankRuehl" w:cs="FrankRuehl" w:ascii="FrankRuehl" w:hAnsi="FrankRuehl"/>
          <w:color w:val="000000"/>
          <w:sz w:val="28"/>
          <w:szCs w:val="28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בתי המשפט חזרו שוב ושוב על כך שמדובר בתופעה נרחבת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המהווה סיכון ממשי לשלום הציבור ולחיי אדם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ועל כך שנדרשת ענישה מחמירה המחייבת גזירת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עונשים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מחמירים ומכבידים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שיש בהם כדי להרתיע הן את המבצע עצמו והן את העבריינים בכוח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מסגרת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חוק המאבק בטרור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הורה המחוקק על החמרת הענישה במסגרת עליית מדרגה במאבק בטרור במישור המשפט הפלילי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והפסיקה קוראת לבתי המשפט ליישם זאת בדרך של הטלת ענישה מחמירה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hyperlink r:id="rId2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1466/20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פלוני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22.07.20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)).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נדמה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כי התפשטות התופעה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והנזקים הנרחבים הנגרמים למדינת ישראל ואזרחיה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מצדיקה החמרה משמעותית נוספת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 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התפרעויות של המונים ב</w:t>
      </w:r>
      <w:bookmarkStart w:id="14" w:name="Seif31"/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כלל</w:t>
      </w:r>
      <w:bookmarkEnd w:id="14"/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ועל רקע לאומני בפרט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צריכות לזכות לתגובה עונשית קשה וכואבת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...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כך נוהגת מדינת חוק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וכך זכאים לצפות כל הבאים בשעריו של בית המשפט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(</w:t>
      </w:r>
      <w:hyperlink r:id="rId2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2285/05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חמד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5.12.05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וראו גם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: </w:t>
      </w:r>
      <w:hyperlink r:id="rId2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901/22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אסווד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24.02.22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)).</w:t>
      </w:r>
    </w:p>
    <w:p>
      <w:pPr>
        <w:pStyle w:val="ListParagraph"/>
        <w:spacing w:lineRule="auto" w:line="360"/>
        <w:ind w:end="0"/>
        <w:jc w:val="start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hd w:fill="FFFFFF" w:val="clear"/>
        <w:spacing w:lineRule="auto" w:line="360"/>
        <w:ind w:hanging="360" w:start="720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לא ניתן להפריז בחומרת העבירות שביצעו הנאשמים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שבוצעו בשני מועדים שונים ממניעים אידיאולוגיים ובעת שכוחות הביטחון הגיעו לבצע חיפוש בבתים של מפגעים אשר זמן קצר קודם לחיפוש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במקרה אחד מדובר במפגע שרצח חיילת ביריות ופצע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ובמקרה שני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מפגע אחר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פצע קשה אזרח בדקירות סכין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תכליתן של פעולות הנאשמים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יחד עם אחרים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הייתה לפגוע באנשי כוחות הביטחון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חומרה יתרה נודעת לעובדה כי העבירות בוצעו בצוותא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: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hyperlink r:id="rId2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1163/07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אבו ח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>'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דיר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29.03.07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);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hyperlink r:id="rId2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25089-02-21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טאהא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13.09.21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)),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לאחר תכנון קפדני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למצער באישום השלישי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כפי שציין בית המשפט בע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פ </w:t>
      </w:r>
      <w:r>
        <w:rPr>
          <w:rFonts w:cs="FrankRuehl" w:ascii="FrankRuehl" w:hAnsi="FrankRuehl"/>
          <w:color w:val="000000"/>
          <w:sz w:val="28"/>
          <w:szCs w:val="28"/>
        </w:rPr>
        <w:t>901/22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בעניין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אסווד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: 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מדינה חפצת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חיים חייבת להגן על ריבונותה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על סמלי שלטונה ועל כוחות אכיפת החוק שלה מפני פגיעה ומפני קריאת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תיגר אלימה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ככל שקריאת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התיגר היא נרחבת יותר ואלימה יותר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יש לראותה כמסוכנת יותר לאינטרסים החיוניים של המדינה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קריאת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תיגר מסוכנת מחייבת את  בתי המשפט להגיב באמירות ברורות וחד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משמעיות של ענישה בלתי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מתפשרת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באשר לשאלה האם יש לראות בכל המעשים אירוע אחד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כטענת המאשימה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מספר אירועים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לצורך קביעת מתחם עונש הולם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דעתי כדעת ב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 הנאשמים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בענייננו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מדובר במסכת עבריינית אחת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ובמעשים בעלי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קשר הדוק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hyperlink r:id="rId3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4910/13</w:t>
        </w:r>
      </w:hyperlink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>'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אבר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29.10.14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סמיכות הזמנים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ששניים מהאירועים אלו שבאישומים השני והשלישי התרחשו בפער של ארבעה ימים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והאירוע שבאישום הראשון התרחש כשבועיים קודם לכן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כשהרקע לעל האירועים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גם לפי המתואר בכתב האישום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בחלק הכללי שבו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הוא אחד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באשר לפסיקה הנוהגת אפנה ל</w:t>
      </w:r>
      <w:hyperlink r:id="rId3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9821/16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פלוני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30.11.17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בו נקבע מתחם שנע בין </w:t>
      </w:r>
      <w:r>
        <w:rPr>
          <w:rFonts w:cs="FrankRuehl" w:ascii="FrankRuehl" w:hAnsi="FrankRuehl"/>
          <w:color w:val="000000"/>
          <w:sz w:val="28"/>
          <w:szCs w:val="28"/>
        </w:rPr>
        <w:t>3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</w:rPr>
        <w:t>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שנות מאסר בשל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יידוי אבנים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בקבוקי תבערה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ובעבירה של ייצור 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לע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פ </w:t>
      </w:r>
      <w:r>
        <w:rPr>
          <w:rFonts w:cs="FrankRuehl" w:ascii="FrankRuehl" w:hAnsi="FrankRuehl"/>
          <w:color w:val="000000"/>
          <w:sz w:val="28"/>
          <w:szCs w:val="28"/>
        </w:rPr>
        <w:t>1466/20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פלוני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22.07.20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בו הו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שת על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קטין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שהורשע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בהכנת והשלכת שלושה בקבוקי תבערה על בית בו מתגוררות משפחות יהודיות בשכונת סילוואן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עונש של </w:t>
      </w:r>
      <w:r>
        <w:rPr>
          <w:rFonts w:cs="FrankRuehl" w:ascii="FrankRuehl" w:hAnsi="FrankRuehl"/>
          <w:color w:val="000000"/>
          <w:sz w:val="28"/>
          <w:szCs w:val="28"/>
        </w:rPr>
        <w:t>32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מקרה אחר ב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 הורשע נאשם בעבירה של מעשה טרור של חבלה בכוונה מחמירה ובפעולה בנשק למטרות טרור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בגין שני אירועים של יידוי בקבוק תבערה לעבר כוחות הביטחון במחסום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נקבע כי המתחם נע בין </w:t>
      </w:r>
      <w:r>
        <w:rPr>
          <w:rFonts w:cs="FrankRuehl" w:ascii="FrankRuehl" w:hAnsi="FrankRuehl"/>
          <w:color w:val="000000"/>
          <w:sz w:val="28"/>
          <w:szCs w:val="28"/>
        </w:rPr>
        <w:t>24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ועד 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  <w:szCs w:val="28"/>
        </w:rPr>
        <w:t>54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 בפועל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וראו גם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: </w:t>
      </w:r>
      <w:hyperlink r:id="rId3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10894-06-21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אבו זינה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8.12.21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);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</w:t>
      </w:r>
      <w:hyperlink r:id="rId3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3708/21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פלוני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13.07.21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אליו הפנתה המאשימה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ובו נקבע מתחם עונש הולם בין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שנים ושמונה חודשים לבין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בשל ביצוע עבירות של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מעשה טרור של חבלה בכוונה מחמירה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סיוע לייצור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מעשה טרור של ניסיון הצתה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מעשה טרור של יידוי אבן לעבר כלי תחבורה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3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ש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30623-05-21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עמרני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3.07.23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שם נקבע מתחם שנע בין </w:t>
      </w:r>
      <w:r>
        <w:rPr>
          <w:rFonts w:cs="FrankRuehl" w:ascii="FrankRuehl" w:hAnsi="FrankRuehl"/>
          <w:sz w:val="28"/>
          <w:szCs w:val="28"/>
        </w:rPr>
        <w:t>27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50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 בגין יידוי שני אבנים לעבר שתי ניידות משטרה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אמנם מדובר היה בתקופת מבצע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שומר חומות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ואולם מאידך מדובר היה ביידוי רבנים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בלבד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ולא בהשלכת בקבוקי תבערה ומטעני צינור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וראו גם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3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5590/16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נתשה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17.01.18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 </w:t>
      </w:r>
      <w:r>
        <w:rPr>
          <w:rFonts w:cs="FrankRuehl" w:ascii="FrankRuehl" w:hAnsi="FrankRuehl"/>
          <w:sz w:val="28"/>
          <w:szCs w:val="28"/>
        </w:rPr>
        <w:t>9821/16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פלוני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30.11.17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3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 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57177-05-22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אבו חדיר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2.05.23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</w:p>
    <w:p>
      <w:pPr>
        <w:pStyle w:val="ListParagraph"/>
        <w:ind w:end="0"/>
        <w:jc w:val="start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נטל חלק בשלושה אירועים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נטל חלק בשני אירועים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באירועים חמורים שבוצעו בצוותא עם רבים אחרים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באירוע השלישי הנאשמים לא אך השליכו מטעני צינור בעצמם אלא אף היו שותפים בחלוקה לאחרים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או אף בסיוע לייצור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יש לציין גם את הרקע להתפרעויות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פעילות כנגד כוחות הביטחון שפעלו כנגד מבצע פיגוע רצחני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במטרה לפגוע בכוחות הביטחון ממניע לאומני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אידיאולוגי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 את הנזק הפוטנציאלי וזה שנגרם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למכלול הנסיבות והפסיקה הנוהגת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אני סבור כי מתחם העונש ההולם את מעשיו של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 מ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4.5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ועד </w:t>
      </w:r>
      <w:r>
        <w:rPr>
          <w:rFonts w:cs="FrankRuehl" w:ascii="FrankRuehl" w:hAnsi="FrankRuehl"/>
          <w:sz w:val="28"/>
          <w:szCs w:val="28"/>
        </w:rPr>
        <w:t>7.5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ומתחם העונש ההולם את מעשיו של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 מ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ועד </w:t>
      </w:r>
      <w:r>
        <w:rPr>
          <w:rFonts w:cs="FrankRuehl" w:ascii="FrankRuehl" w:hAnsi="FrankRuehl"/>
          <w:color w:val="000000"/>
          <w:sz w:val="28"/>
          <w:szCs w:val="28"/>
        </w:rPr>
        <w:t>7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שנות מאסר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באשר לנאשמים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color w:val="000000"/>
          <w:sz w:val="28"/>
          <w:szCs w:val="28"/>
        </w:rPr>
        <w:t>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יליד </w:t>
      </w:r>
      <w:r>
        <w:rPr>
          <w:rFonts w:cs="FrankRuehl" w:ascii="FrankRuehl" w:hAnsi="FrankRuehl"/>
          <w:color w:val="000000"/>
          <w:sz w:val="28"/>
          <w:szCs w:val="28"/>
        </w:rPr>
        <w:t>2001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כיום כבן </w:t>
      </w:r>
      <w:r>
        <w:rPr>
          <w:rFonts w:cs="FrankRuehl" w:ascii="FrankRuehl" w:hAnsi="FrankRuehl"/>
          <w:color w:val="000000"/>
          <w:sz w:val="28"/>
          <w:szCs w:val="28"/>
        </w:rPr>
        <w:t>23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בעברו הרשעות בין היתר בעבירת התפרעות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וחברות בהתאגדות בלתי מותרת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את העבירות מושא הליך זה ביצע כשעונש מאסר מותנה תלוי ועומד כנגדו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לזכותו יש לזקוף את הודאתו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הוא ציין כי למד את הלקח אך לא הביע חרטה על מעשיו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בנסיבות אלו יש לגזור את עונשו של נאשם זה במחצית המתחם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FrankRuehl" w:hAnsi="FrankRuehl" w:cs="FrankRuehl"/>
          <w:color w:val="FF0000"/>
          <w:sz w:val="28"/>
          <w:szCs w:val="28"/>
          <w:u w:val="single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color w:val="000000"/>
          <w:sz w:val="28"/>
          <w:szCs w:val="28"/>
        </w:rPr>
        <w:t>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יליד </w:t>
      </w:r>
      <w:r>
        <w:rPr>
          <w:rFonts w:cs="FrankRuehl" w:ascii="FrankRuehl" w:hAnsi="FrankRuehl"/>
          <w:color w:val="000000"/>
          <w:sz w:val="28"/>
          <w:szCs w:val="28"/>
        </w:rPr>
        <w:t>2004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כיום כבן </w:t>
      </w:r>
      <w:r>
        <w:rPr>
          <w:rFonts w:cs="FrankRuehl" w:ascii="FrankRuehl" w:hAnsi="FrankRuehl"/>
          <w:color w:val="000000"/>
          <w:sz w:val="28"/>
          <w:szCs w:val="28"/>
        </w:rPr>
        <w:t>20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נעדר עבר פלילי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גם הוא הודה במיוחס לו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אך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קשה לקבל את השגותיו ביחס להתרשמות קצין המבחן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שעה שגם בבית המשפט הוא לא הביע כל חרטה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לגזור את עונשו בשליש המתחם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FrankRuehl" w:hAnsi="FrankRuehl" w:cs="FrankRuehl"/>
          <w:color w:val="FF0000"/>
          <w:sz w:val="28"/>
          <w:szCs w:val="28"/>
          <w:u w:val="single"/>
        </w:rPr>
      </w:pPr>
      <w:r>
        <w:rPr>
          <w:rFonts w:cs="FrankRuehl" w:ascii="FrankRuehl" w:hAnsi="FrankRuehl"/>
          <w:color w:val="FF0000"/>
          <w:sz w:val="28"/>
          <w:szCs w:val="28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FrankRuehl" w:hAnsi="FrankRuehl" w:cs="FrankRuehl"/>
          <w:color w:val="FF0000"/>
          <w:sz w:val="28"/>
          <w:szCs w:val="28"/>
          <w:u w:val="single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סופו של יום אפוא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 משית על הנאשמים את העונשים הבאים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ListParagraph"/>
        <w:spacing w:lineRule="auto" w:line="360"/>
        <w:ind w:end="0"/>
        <w:jc w:val="start"/>
        <w:rPr>
          <w:rFonts w:ascii="FrankRuehl" w:hAnsi="FrankRuehl" w:cs="FrankRuehl"/>
          <w:color w:val="FF0000"/>
          <w:sz w:val="28"/>
          <w:szCs w:val="28"/>
          <w:u w:val="single"/>
        </w:rPr>
      </w:pPr>
      <w:r>
        <w:rPr>
          <w:rFonts w:cs="FrankRuehl" w:ascii="FrankRuehl" w:hAnsi="FrankRuehl"/>
          <w:color w:val="FF0000"/>
          <w:sz w:val="28"/>
          <w:szCs w:val="28"/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נאשם </w:t>
      </w:r>
      <w:r>
        <w:rPr>
          <w:rFonts w:cs="FrankRuehl" w:ascii="FrankRuehl" w:hAnsi="FrankRuehl"/>
          <w:b/>
          <w:bCs/>
          <w:sz w:val="28"/>
          <w:szCs w:val="28"/>
          <w:u w:val="single"/>
        </w:rPr>
        <w:t>1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–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 w:before="0" w:after="160"/>
        <w:ind w:hanging="360" w:start="1080" w:end="0"/>
        <w:jc w:val="both"/>
        <w:rPr>
          <w:rFonts w:cs="Times New Roman"/>
          <w:color w:val="000000"/>
          <w:sz w:val="27"/>
          <w:szCs w:val="27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  </w:t>
      </w:r>
      <w:r>
        <w:rPr>
          <w:rFonts w:cs="FrankRuehl" w:ascii="FrankRuehl" w:hAnsi="FrankRuehl"/>
          <w:color w:val="000000"/>
          <w:sz w:val="28"/>
          <w:szCs w:val="28"/>
        </w:rPr>
        <w:t>72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מאסר לריצוי בפועל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שמניינם מיום מעצרו בתיק זה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מיום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</w:rPr>
        <w:t>24.11.22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360" w:start="1080" w:end="0"/>
        <w:jc w:val="both"/>
        <w:rPr>
          <w:color w:val="000000"/>
          <w:sz w:val="27"/>
          <w:szCs w:val="27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 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כמו כן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אני מורה על הפעלת עונש מאסר מותנה בן </w:t>
      </w:r>
      <w:r>
        <w:rPr>
          <w:rFonts w:cs="FrankRuehl" w:ascii="FrankRuehl" w:hAnsi="FrankRuehl"/>
          <w:color w:val="000000"/>
          <w:sz w:val="28"/>
          <w:szCs w:val="28"/>
        </w:rPr>
        <w:t>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חודשים שנגזר על הנאשם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ב</w:t>
      </w:r>
      <w:hyperlink r:id="rId3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71475-02-19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color w:val="000000"/>
          <w:sz w:val="28"/>
          <w:szCs w:val="28"/>
        </w:rPr>
        <w:t>13</w:t>
      </w:r>
      <w:r>
        <w:rPr>
          <w:rFonts w:cs="FrankRuehl" w:ascii="FrankRuehl" w:hAnsi="FrankRuehl"/>
          <w:color w:val="000000"/>
          <w:sz w:val="28"/>
          <w:szCs w:val="28"/>
        </w:rPr>
        <w:t>.</w:t>
      </w:r>
      <w:r>
        <w:rPr>
          <w:rFonts w:cs="FrankRuehl" w:ascii="FrankRuehl" w:hAnsi="FrankRuehl"/>
          <w:color w:val="000000"/>
          <w:sz w:val="28"/>
          <w:szCs w:val="28"/>
        </w:rPr>
        <w:t>01</w:t>
      </w:r>
      <w:r>
        <w:rPr>
          <w:rFonts w:cs="FrankRuehl" w:ascii="FrankRuehl" w:hAnsi="FrankRuehl"/>
          <w:color w:val="000000"/>
          <w:sz w:val="28"/>
          <w:szCs w:val="28"/>
        </w:rPr>
        <w:t>.</w:t>
      </w:r>
      <w:r>
        <w:rPr>
          <w:rFonts w:cs="FrankRuehl" w:ascii="FrankRuehl" w:hAnsi="FrankRuehl"/>
          <w:color w:val="000000"/>
          <w:sz w:val="28"/>
          <w:szCs w:val="28"/>
        </w:rPr>
        <w:t>20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אשר ירוצה במצטבר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לעונש שהושת לעיל בסעיף א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',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כך שבסך הכולל ירצה הנאשם </w:t>
      </w:r>
      <w:r>
        <w:rPr>
          <w:rFonts w:cs="FrankRuehl" w:ascii="FrankRuehl" w:hAnsi="FrankRuehl"/>
          <w:color w:val="000000"/>
          <w:sz w:val="28"/>
          <w:szCs w:val="28"/>
        </w:rPr>
        <w:t>78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 מיום מעצרו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360" w:start="1080" w:end="0"/>
        <w:jc w:val="both"/>
        <w:rPr>
          <w:color w:val="000000"/>
          <w:sz w:val="27"/>
          <w:szCs w:val="27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  </w:t>
      </w:r>
      <w:r>
        <w:rPr>
          <w:rFonts w:cs="FrankRuehl" w:ascii="FrankRuehl" w:hAnsi="FrankRuehl"/>
          <w:color w:val="000000"/>
          <w:sz w:val="28"/>
          <w:szCs w:val="28"/>
        </w:rPr>
        <w:t>9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חודשי מאסר אותם לא ירצה אלא אם בתוך שלוש שנים מיום שחרורו ממאסרו ישוב ויעבור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אחת מהעבירות בהן הורשע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או כל עבירת אלימות או עבירת 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או כל עבירה לפי חוק הטרור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360" w:start="1080" w:end="0"/>
        <w:jc w:val="both"/>
        <w:rPr>
          <w:color w:val="000000"/>
          <w:sz w:val="27"/>
          <w:szCs w:val="27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ד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 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קנס בסך של </w:t>
      </w:r>
      <w:r>
        <w:rPr>
          <w:rFonts w:cs="FrankRuehl" w:ascii="FrankRuehl" w:hAnsi="FrankRuehl"/>
          <w:color w:val="000000"/>
          <w:sz w:val="28"/>
          <w:szCs w:val="28"/>
        </w:rPr>
        <w:t>2,000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₪,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אשר ישולם עד ליום </w:t>
      </w:r>
      <w:r>
        <w:rPr>
          <w:rFonts w:cs="FrankRuehl" w:ascii="FrankRuehl" w:hAnsi="FrankRuehl"/>
          <w:color w:val="000000"/>
          <w:sz w:val="28"/>
          <w:szCs w:val="28"/>
        </w:rPr>
        <w:t>1.03.24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before="0" w:after="160"/>
        <w:ind w:start="720" w:end="0"/>
        <w:jc w:val="both"/>
        <w:rPr/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 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פיצוי למתלונן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השוטר ניסים פרץ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בסך של </w:t>
      </w:r>
      <w:r>
        <w:rPr>
          <w:rFonts w:cs="FrankRuehl" w:ascii="FrankRuehl" w:hAnsi="FrankRuehl"/>
          <w:color w:val="000000"/>
          <w:sz w:val="28"/>
          <w:szCs w:val="28"/>
        </w:rPr>
        <w:t>3,</w:t>
      </w:r>
      <w:r>
        <w:rPr>
          <w:rFonts w:cs="FrankRuehl" w:ascii="FrankRuehl" w:hAnsi="FrankRuehl"/>
          <w:color w:val="000000"/>
          <w:sz w:val="28"/>
          <w:szCs w:val="28"/>
        </w:rPr>
        <w:t>000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הפיצוי יופקד בקופת בית המשפט </w:t>
      </w:r>
    </w:p>
    <w:p>
      <w:pPr>
        <w:pStyle w:val="Normal"/>
        <w:spacing w:before="0" w:after="160"/>
        <w:ind w:start="720" w:end="0"/>
        <w:jc w:val="both"/>
        <w:rPr>
          <w:color w:val="000000"/>
          <w:sz w:val="27"/>
          <w:szCs w:val="27"/>
        </w:rPr>
      </w:pPr>
      <w:r>
        <w:rPr>
          <w:rFonts w:eastAsia="FrankRuehl" w:cs="FrankRuehl" w:ascii="FrankRuehl" w:hAnsi="FrankRuehl"/>
          <w:color w:val="000000"/>
          <w:sz w:val="28"/>
          <w:szCs w:val="28"/>
          <w:rtl w:val="true"/>
        </w:rPr>
        <w:t xml:space="preserve">      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עד ליום </w:t>
      </w:r>
      <w:r>
        <w:rPr>
          <w:rFonts w:cs="FrankRuehl" w:ascii="FrankRuehl" w:hAnsi="FrankRuehl"/>
          <w:color w:val="000000"/>
          <w:sz w:val="28"/>
          <w:szCs w:val="28"/>
        </w:rPr>
        <w:t>1.0</w:t>
      </w:r>
      <w:r>
        <w:rPr>
          <w:rFonts w:cs="FrankRuehl" w:ascii="FrankRuehl" w:hAnsi="FrankRuehl"/>
          <w:color w:val="000000"/>
          <w:sz w:val="28"/>
          <w:szCs w:val="28"/>
        </w:rPr>
        <w:t>3</w:t>
      </w:r>
      <w:r>
        <w:rPr>
          <w:rFonts w:cs="FrankRuehl" w:ascii="FrankRuehl" w:hAnsi="FrankRuehl"/>
          <w:color w:val="000000"/>
          <w:sz w:val="28"/>
          <w:szCs w:val="28"/>
        </w:rPr>
        <w:t>.2</w:t>
      </w:r>
      <w:r>
        <w:rPr>
          <w:rFonts w:cs="FrankRuehl" w:ascii="FrankRuehl" w:hAnsi="FrankRuehl"/>
          <w:color w:val="000000"/>
          <w:sz w:val="28"/>
          <w:szCs w:val="28"/>
        </w:rPr>
        <w:t>4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המאשימה תעביר את פרטי המ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תלונן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למזכירות בית המשפט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 </w:t>
      </w:r>
    </w:p>
    <w:p>
      <w:pPr>
        <w:pStyle w:val="ListParagraph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נאשם </w:t>
      </w:r>
      <w:r>
        <w:rPr>
          <w:rFonts w:cs="FrankRuehl" w:ascii="FrankRuehl" w:hAnsi="FrankRuehl"/>
          <w:b/>
          <w:bCs/>
          <w:sz w:val="28"/>
          <w:szCs w:val="28"/>
          <w:u w:val="single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–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 w:before="0" w:after="160"/>
        <w:ind w:hanging="360" w:start="1080" w:end="0"/>
        <w:jc w:val="both"/>
        <w:rPr>
          <w:rFonts w:cs="Times New Roman"/>
          <w:color w:val="000000"/>
          <w:sz w:val="27"/>
          <w:szCs w:val="27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  </w:t>
      </w:r>
      <w:r>
        <w:rPr>
          <w:rFonts w:cs="FrankRuehl" w:ascii="FrankRuehl" w:hAnsi="FrankRuehl"/>
          <w:color w:val="000000"/>
          <w:sz w:val="28"/>
          <w:szCs w:val="28"/>
        </w:rPr>
        <w:t>60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מאסר לריצוי בפועל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שמניינם מיום מעצרו בתיק זה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מיום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</w:rPr>
        <w:t>24.11.22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360" w:start="1080" w:end="0"/>
        <w:jc w:val="both"/>
        <w:rPr>
          <w:color w:val="000000"/>
          <w:sz w:val="27"/>
          <w:szCs w:val="27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  </w:t>
      </w:r>
      <w:r>
        <w:rPr>
          <w:rFonts w:cs="FrankRuehl" w:ascii="FrankRuehl" w:hAnsi="FrankRuehl"/>
          <w:color w:val="000000"/>
          <w:sz w:val="28"/>
          <w:szCs w:val="28"/>
        </w:rPr>
        <w:t>9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חודשי מאסר אותם לא ירצה אלא אם בתוך שלוש שנים מיום שחרורו ממאסרו ישוב ויעבור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אחת מהעבירות בהן הורשע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או כל עבירת אלימות או עבירת 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או כל עבירה לפי חוק הטרור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360" w:start="1080" w:end="0"/>
        <w:jc w:val="both"/>
        <w:rPr>
          <w:color w:val="000000"/>
          <w:sz w:val="27"/>
          <w:szCs w:val="27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 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קנס בסך של </w:t>
      </w:r>
      <w:r>
        <w:rPr>
          <w:rFonts w:cs="FrankRuehl" w:ascii="FrankRuehl" w:hAnsi="FrankRuehl"/>
          <w:color w:val="000000"/>
          <w:sz w:val="28"/>
          <w:szCs w:val="28"/>
        </w:rPr>
        <w:t>2,000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₪,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אשר ישולם עד ליום </w:t>
      </w:r>
      <w:r>
        <w:rPr>
          <w:rFonts w:cs="FrankRuehl" w:ascii="FrankRuehl" w:hAnsi="FrankRuehl"/>
          <w:color w:val="000000"/>
          <w:sz w:val="28"/>
          <w:szCs w:val="28"/>
        </w:rPr>
        <w:t>1.03.24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Normal"/>
        <w:spacing w:before="0" w:after="160"/>
        <w:ind w:start="720" w:end="0"/>
        <w:jc w:val="both"/>
        <w:rPr/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ד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 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פיצוי למתלונן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השוטר ניסים פרץ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בסך של </w:t>
      </w:r>
      <w:r>
        <w:rPr>
          <w:rFonts w:cs="FrankRuehl" w:ascii="FrankRuehl" w:hAnsi="FrankRuehl"/>
          <w:color w:val="000000"/>
          <w:sz w:val="28"/>
          <w:szCs w:val="28"/>
        </w:rPr>
        <w:t>3,</w:t>
      </w:r>
      <w:r>
        <w:rPr>
          <w:rFonts w:cs="FrankRuehl" w:ascii="FrankRuehl" w:hAnsi="FrankRuehl"/>
          <w:color w:val="000000"/>
          <w:sz w:val="28"/>
          <w:szCs w:val="28"/>
        </w:rPr>
        <w:t>000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הפיצוי יופקד בקופת בית המשפט </w:t>
      </w:r>
    </w:p>
    <w:p>
      <w:pPr>
        <w:pStyle w:val="Normal"/>
        <w:spacing w:before="0" w:after="160"/>
        <w:ind w:start="720" w:end="0"/>
        <w:jc w:val="both"/>
        <w:rPr>
          <w:color w:val="000000"/>
          <w:sz w:val="27"/>
          <w:szCs w:val="27"/>
        </w:rPr>
      </w:pPr>
      <w:r>
        <w:rPr>
          <w:rFonts w:eastAsia="FrankRuehl" w:cs="FrankRuehl" w:ascii="FrankRuehl" w:hAnsi="FrankRuehl"/>
          <w:color w:val="000000"/>
          <w:sz w:val="28"/>
          <w:szCs w:val="28"/>
          <w:rtl w:val="true"/>
        </w:rPr>
        <w:t xml:space="preserve">      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עד ליום </w:t>
      </w:r>
      <w:r>
        <w:rPr>
          <w:rFonts w:cs="FrankRuehl" w:ascii="FrankRuehl" w:hAnsi="FrankRuehl"/>
          <w:color w:val="000000"/>
          <w:sz w:val="28"/>
          <w:szCs w:val="28"/>
        </w:rPr>
        <w:t>1.0</w:t>
      </w:r>
      <w:r>
        <w:rPr>
          <w:rFonts w:cs="FrankRuehl" w:ascii="FrankRuehl" w:hAnsi="FrankRuehl"/>
          <w:color w:val="000000"/>
          <w:sz w:val="28"/>
          <w:szCs w:val="28"/>
        </w:rPr>
        <w:t>3</w:t>
      </w:r>
      <w:r>
        <w:rPr>
          <w:rFonts w:cs="FrankRuehl" w:ascii="FrankRuehl" w:hAnsi="FrankRuehl"/>
          <w:color w:val="000000"/>
          <w:sz w:val="28"/>
          <w:szCs w:val="28"/>
        </w:rPr>
        <w:t>.2</w:t>
      </w:r>
      <w:r>
        <w:rPr>
          <w:rFonts w:cs="FrankRuehl" w:ascii="FrankRuehl" w:hAnsi="FrankRuehl"/>
          <w:color w:val="000000"/>
          <w:sz w:val="28"/>
          <w:szCs w:val="28"/>
        </w:rPr>
        <w:t>4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המאשימה תעביר את פרטי המ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תלונן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למזכירות בית המשפט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 </w:t>
      </w:r>
    </w:p>
    <w:p>
      <w:pPr>
        <w:pStyle w:val="ListParagraph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יצוין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הטיעונים לעונש נשמעו ביום </w:t>
      </w:r>
      <w:r>
        <w:rPr>
          <w:rFonts w:cs="FrankRuehl" w:ascii="FrankRuehl" w:hAnsi="FrankRuehl"/>
          <w:sz w:val="28"/>
          <w:szCs w:val="28"/>
        </w:rPr>
        <w:t>28.09.23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ושימוע גזר הדין נקבע ליום </w:t>
      </w:r>
      <w:r>
        <w:rPr>
          <w:rFonts w:cs="FrankRuehl" w:ascii="FrankRuehl" w:hAnsi="FrankRuehl"/>
          <w:sz w:val="28"/>
          <w:szCs w:val="28"/>
        </w:rPr>
        <w:t>22.10.23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ונדחה מספר פעמים עד להיום בשל מצב החירום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זכות ערעור לבית המשפט העליון בתוך </w:t>
      </w:r>
      <w:r>
        <w:rPr>
          <w:rFonts w:cs="FrankRuehl" w:ascii="FrankRuehl" w:hAnsi="FrankRuehl"/>
          <w:sz w:val="28"/>
          <w:szCs w:val="28"/>
        </w:rPr>
        <w:t>45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יום מהיום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5" w:name="Nitan"/>
      <w:r>
        <w:rPr>
          <w:rFonts w:cs="FrankRuehl" w:ascii="FrankRuehl" w:hAnsi="FrankRuehl"/>
          <w:color w:val="FFFFFF"/>
          <w:sz w:val="2"/>
          <w:szCs w:val="2"/>
        </w:rPr>
        <w:t>54678313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ניתן 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,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 טבת תשפ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04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ינואר </w:t>
      </w:r>
      <w:r>
        <w:rPr>
          <w:rFonts w:cs="FrankRuehl" w:ascii="FrankRuehl" w:hAnsi="FrankRuehl"/>
          <w:sz w:val="28"/>
          <w:szCs w:val="28"/>
        </w:rPr>
        <w:t>2024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במעמד המתייצבים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bookmarkEnd w:id="15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אילן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9"/>
      <w:footerReference w:type="default" r:id="rId4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20733-12-22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מחמד חלווה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color w:val="000000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52" TargetMode="External"/><Relationship Id="rId5" Type="http://schemas.openxmlformats.org/officeDocument/2006/relationships/hyperlink" Target="http://www.nevo.co.il/law/70301/274.3" TargetMode="External"/><Relationship Id="rId6" Type="http://schemas.openxmlformats.org/officeDocument/2006/relationships/hyperlink" Target="http://www.nevo.co.il/law/70301/275a" TargetMode="External"/><Relationship Id="rId7" Type="http://schemas.openxmlformats.org/officeDocument/2006/relationships/hyperlink" Target="http://www.nevo.co.il/law/70301/329.1" TargetMode="External"/><Relationship Id="rId8" Type="http://schemas.openxmlformats.org/officeDocument/2006/relationships/hyperlink" Target="http://www.nevo.co.il/law/141771" TargetMode="External"/><Relationship Id="rId9" Type="http://schemas.openxmlformats.org/officeDocument/2006/relationships/hyperlink" Target="http://www.nevo.co.il/law/141771/30.a" TargetMode="External"/><Relationship Id="rId10" Type="http://schemas.openxmlformats.org/officeDocument/2006/relationships/hyperlink" Target="http://www.nevo.co.il/law/141771/37" TargetMode="External"/><Relationship Id="rId11" Type="http://schemas.openxmlformats.org/officeDocument/2006/relationships/hyperlink" Target="http://www.nevo.co.il/law/70301/275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52" TargetMode="External"/><Relationship Id="rId14" Type="http://schemas.openxmlformats.org/officeDocument/2006/relationships/hyperlink" Target="http://www.nevo.co.il/law/70301/274.3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70301/329.1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141771/37" TargetMode="External"/><Relationship Id="rId19" Type="http://schemas.openxmlformats.org/officeDocument/2006/relationships/hyperlink" Target="http://www.nevo.co.il/law/141771" TargetMode="External"/><Relationship Id="rId20" Type="http://schemas.openxmlformats.org/officeDocument/2006/relationships/hyperlink" Target="http://www.nevo.co.il/law/141771/30.a" TargetMode="External"/><Relationship Id="rId21" Type="http://schemas.openxmlformats.org/officeDocument/2006/relationships/hyperlink" Target="http://www.nevo.co.il/law/141771/30.a" TargetMode="External"/><Relationship Id="rId22" Type="http://schemas.openxmlformats.org/officeDocument/2006/relationships/hyperlink" Target="http://www.nevo.co.il/case/21478675" TargetMode="External"/><Relationship Id="rId23" Type="http://schemas.openxmlformats.org/officeDocument/2006/relationships/hyperlink" Target="http://www.nevo.co.il/case/10485615" TargetMode="External"/><Relationship Id="rId24" Type="http://schemas.openxmlformats.org/officeDocument/2006/relationships/hyperlink" Target="http://www.nevo.co.il/case/27171364" TargetMode="External"/><Relationship Id="rId25" Type="http://schemas.openxmlformats.org/officeDocument/2006/relationships/hyperlink" Target="http://www.nevo.co.il/case/26489415" TargetMode="External"/><Relationship Id="rId26" Type="http://schemas.openxmlformats.org/officeDocument/2006/relationships/hyperlink" Target="http://www.nevo.co.il/case/5823680" TargetMode="External"/><Relationship Id="rId27" Type="http://schemas.openxmlformats.org/officeDocument/2006/relationships/hyperlink" Target="http://www.nevo.co.il/case/28296934" TargetMode="External"/><Relationship Id="rId28" Type="http://schemas.openxmlformats.org/officeDocument/2006/relationships/hyperlink" Target="http://www.nevo.co.il/case/5750760" TargetMode="External"/><Relationship Id="rId29" Type="http://schemas.openxmlformats.org/officeDocument/2006/relationships/hyperlink" Target="http://www.nevo.co.il/case/27395790" TargetMode="External"/><Relationship Id="rId30" Type="http://schemas.openxmlformats.org/officeDocument/2006/relationships/hyperlink" Target="http://www.nevo.co.il/case/13093721" TargetMode="External"/><Relationship Id="rId31" Type="http://schemas.openxmlformats.org/officeDocument/2006/relationships/hyperlink" Target="http://www.nevo.co.il/case/23506710" TargetMode="External"/><Relationship Id="rId32" Type="http://schemas.openxmlformats.org/officeDocument/2006/relationships/hyperlink" Target="http://www.nevo.co.il/case/27679696" TargetMode="External"/><Relationship Id="rId33" Type="http://schemas.openxmlformats.org/officeDocument/2006/relationships/hyperlink" Target="http://www.nevo.co.il/case/27654256" TargetMode="External"/><Relationship Id="rId34" Type="http://schemas.openxmlformats.org/officeDocument/2006/relationships/hyperlink" Target="http://www.nevo.co.il/case/27623350" TargetMode="External"/><Relationship Id="rId35" Type="http://schemas.openxmlformats.org/officeDocument/2006/relationships/hyperlink" Target="http://www.nevo.co.il/case/21476340" TargetMode="External"/><Relationship Id="rId36" Type="http://schemas.openxmlformats.org/officeDocument/2006/relationships/hyperlink" Target="http://www.nevo.co.il/case/28640864" TargetMode="External"/><Relationship Id="rId37" Type="http://schemas.openxmlformats.org/officeDocument/2006/relationships/hyperlink" Target="http://www.nevo.co.il/case/25495601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2024-01-07T13:01:00Z</dcterms:created>
  <dc:creator> </dc:creator>
  <dc:description/>
  <cp:keywords/>
  <dc:language>en-IL</dc:language>
  <cp:lastModifiedBy>h1</cp:lastModifiedBy>
  <dcterms:modified xsi:type="dcterms:W3CDTF">2024-01-07T13:01:00Z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מחמד חלווה;מחמד עבד אל לטיף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21478675;10485615;27171364;26489415;5823680;28296934;5750760;27395790;13093721;23506710;27679696;27654256;27623350;21476340;28640864;25495601</vt:lpwstr>
  </property>
  <property fmtid="{D5CDD505-2E9C-101B-9397-08002B2CF9AE}" pid="9" name="CITY">
    <vt:lpwstr>י-ם</vt:lpwstr>
  </property>
  <property fmtid="{D5CDD505-2E9C-101B-9397-08002B2CF9AE}" pid="10" name="DATE">
    <vt:lpwstr>20240104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אילן סלע</vt:lpwstr>
  </property>
  <property fmtid="{D5CDD505-2E9C-101B-9397-08002B2CF9AE}" pid="14" name="LAWLISTTMP1">
    <vt:lpwstr>70301/275a;152;274.3;029:2;329.1</vt:lpwstr>
  </property>
  <property fmtid="{D5CDD505-2E9C-101B-9397-08002B2CF9AE}" pid="15" name="LAWLISTTMP2">
    <vt:lpwstr>141771/037;030.a:2</vt:lpwstr>
  </property>
  <property fmtid="{D5CDD505-2E9C-101B-9397-08002B2CF9AE}" pid="16" name="LAWYER">
    <vt:lpwstr>פועה בן טוב;חמזה קוטינה;חאלד מחאג'נה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20733</vt:lpwstr>
  </property>
  <property fmtid="{D5CDD505-2E9C-101B-9397-08002B2CF9AE}" pid="23" name="NEWPARTB">
    <vt:lpwstr>12</vt:lpwstr>
  </property>
  <property fmtid="{D5CDD505-2E9C-101B-9397-08002B2CF9AE}" pid="24" name="NEWPARTC">
    <vt:lpwstr>22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390020240104</vt:lpwstr>
  </property>
  <property fmtid="{D5CDD505-2E9C-101B-9397-08002B2CF9AE}" pid="35" name="TYPE_N_DATE">
    <vt:lpwstr>39020240104</vt:lpwstr>
  </property>
  <property fmtid="{D5CDD505-2E9C-101B-9397-08002B2CF9AE}" pid="36" name="VOLUME">
    <vt:lpwstr/>
  </property>
  <property fmtid="{D5CDD505-2E9C-101B-9397-08002B2CF9AE}" pid="37" name="WORDNUMPAGES">
    <vt:lpwstr>10</vt:lpwstr>
  </property>
</Properties>
</file>