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20770-11-22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ני טנוס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2"/>
                <w:szCs w:val="22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י </w:t>
            </w:r>
            <w:r>
              <w:rPr>
                <w:rFonts w:ascii="Arial" w:hAnsi="Arial" w:cs="Arial"/>
                <w:rtl w:val="true"/>
              </w:rPr>
              <w:t>שלוחת תביעות גליל צפון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טארק אבו  ריא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2"/>
                <w:szCs w:val="22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Arial" w:hAnsi="Arial" w:cs="Arial"/>
                <w:rtl w:val="true"/>
              </w:rPr>
              <w:t xml:space="preserve"> באסל פלאח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 ברכישת</w:t>
      </w:r>
      <w:r>
        <w:rPr>
          <w:rFonts w:cs="Arial" w:ascii="Arial" w:hAnsi="Arial"/>
          <w:rtl w:val="true"/>
        </w:rPr>
        <w:t xml:space="preserve">/ </w:t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וברכישת 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החזקת חלק של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נערך בידי שוטרים חיפוש כדין בביתו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במעמד זה נמצא כי הנאשם מחזיק בביתו ללא רשות על פי דין להחזקתם את הפריטים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אקדח חצי אוטומט מסוג </w:t>
      </w:r>
      <w:r>
        <w:rPr>
          <w:rFonts w:cs="Arial" w:ascii="Arial" w:hAnsi="Arial"/>
        </w:rPr>
        <w:t>DDG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D110462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מחסנית בהכנס ובתוכה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קופסת כדורים המכילה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תפזורת של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הנאשם הוגש תסקיר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סקר את נסיבות חייו האישיים והמשפחתיים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וממנו עולה כי הנאשם רווק 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ללא עבר פלילי אך לחובתו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בתחום התעבורה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לעבירות נשוא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הביע חרטה ובושה בגין מעורבותו בעבירה ושלל קשרים עם חברה שולית וסכסוך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שלמד את הלקח המתבקש ממעשיו וכי מעצרו הרתיע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ציינה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בהתאם להחלטת בית המשפט מיום </w:t>
      </w:r>
      <w:r>
        <w:rPr>
          <w:rFonts w:cs="Arial" w:ascii="Arial" w:hAnsi="Arial"/>
        </w:rPr>
        <w:t>19.3.2023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הועבר למעצר בית באיזוק אלקטרוני בבית אחותו בגוש חלב  ומעיון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ההפרות עולה כי נרשמה לחובתו הפרה לא מהותית אחת בגינה הוזהר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שיתף כי לא הביע נזקקות בפני העובדת הסוציאלית מטעם מנהלת הפיקוח האלקטרוני לליווי של גורמי טיפול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להערכת הסיכון והסיכוי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שקצינת המבחן העריכה את כל גורמי הסיכון להישנות ביצוע העבירות וכן את גורמי הסיכוי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לפרמטרים שונים הקשורים לאישיותו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דפוסי ניהול קשרים בין אישיים אצלו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 העבירות הנוכחיות ולהיסטוריה העבריינית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התרשמה כי אין באפשרותה לשלול סיכון להישנות עבירות דומות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נמענה מהמלצה על חלופה עונשית במסגרת הקהילה אשר יש בה כדי להפחית מרמת הסיכון הנשקף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המאשימה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טיעונים 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והשלים את טיעוניו בפניי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לערכים המוגנים שנפגעו כתוצאה ממעשיו של הנאשם וטען כי מידת הפגיעה בהם היא גבוהה לאור האלימות הקשה בחברה הישראלית ומקרי האלימות והרצח הרבים המתרחשים תוך שימוש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הפנה לחומרת המעשים כפי שהיא משתקפת מעובדות כתב האישום המתוקן ולעובדה שמדובר באקדח שהיה טעון במחסנית שהכילה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וכן מספר לא מבוטל של כדורים שנתפסו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הפנה לפסיקה לעניין מדיניות הענישה הנהוגה וטען כי מתחם העונש ההולם 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אין לנאשם הרשעות קודמות וכי תסקיר שירות המבחן בעניינו לא שלל סיכון להישנות עבירות דומות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להטיל על הנאשם את העונשים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מאסר בפועל ברף הבינוני של המתחם לו עתר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ארוך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שלא יפחת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הסנגור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 ומתחם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התנגד לפסיקה אליה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בטענה כי היא מתייחסת למקרים חמורים יותר והוסיף כי אין התאמה בין הפסיקה אליה מפנה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למתחם העונש אליו הוא טוען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בהתאם לפסיקה עליה הסתמך מתחיל ממספר חודשים בודדים של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 כי לנאשם אין הרשעות קודמות ואין חשש שנעשה או שייעשה 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מזה כשנה וחצי הוא נמצא במעצר בית בפיקוח אלקטרוני ולא נרשמו לחובתו הפרות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מטפל באחותו שסובלת מתסמונת דאון והיא נמצאת יחד עמו במקום מעצר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עובד בעקבות תאונה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שרוי בדיכאון משום שחווה מוות של חבר לידו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בהזדמנות הראשונה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במעצר לתקופה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ובמשך שנה וחצי בפיקוח אלקטרוני כך שלמעשה במשך שנתיים שהה בתנאים מגבילים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 כי אומנם לא מדובר בתסקיר חיובי אך גם לא בתסקיר שלילי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ביקש שלא למצות את הדין עם הנאשם ולהטיל עליו עונש ברף הנמוך של המתחם ובחפיפה לתקופת המעצר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העבירות בהן הורשע הנאשם הן חמורות ופוגעות בערך החברתי של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שכן שימוש בנשק שלא כדין עלול להוביל לתוצאות הרות אסון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אנו עדים לאלימות גואה מדי יום תוך שימוש בנשק חם באופן שפוגע בשלום גופם ושלוות נפשם של הציבור</w:t>
      </w:r>
      <w:r>
        <w:rPr>
          <w:rtl w:val="true"/>
        </w:rPr>
        <w:t xml:space="preserve">, </w:t>
      </w:r>
      <w:r>
        <w:rPr>
          <w:rtl w:val="true"/>
        </w:rPr>
        <w:t>ולצערנו אף לקיפוח חיי אדם</w:t>
      </w:r>
      <w:r>
        <w:rPr>
          <w:rtl w:val="true"/>
        </w:rPr>
        <w:t xml:space="preserve">. 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</w:rPr>
        <w:t>הפסיקה התייחסה לא אחת לכך כי שיקולי ההלימה מחייבים העדפת האינטרס הציבורי על פני האינטרס האישי והאינדיווידואלי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וכי הענישה הראויה בעבירות מסוג זה כוללת מאסר לריצוי בפועל גם כשמדובר במי שזו לו עבירתו הראשונה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1.2.2015</w:t>
      </w:r>
      <w:r>
        <w:rPr>
          <w:rtl w:val="true"/>
        </w:rPr>
        <w:t xml:space="preserve">). </w:t>
      </w:r>
    </w:p>
    <w:p>
      <w:pPr>
        <w:pStyle w:val="NoSpacing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חומרת עבירות הנשק עמד בית המשפט העליון 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 אל כרים 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נקבע כי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077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077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993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077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ננקטת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25.11.2019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</w:t>
      </w:r>
      <w:r>
        <w:rPr>
          <w:rFonts w:ascii="David" w:hAnsi="David"/>
          <w:rtl w:val="true"/>
        </w:rPr>
        <w:t>ל מידת הפגיעה בערכים המוגנים ניתן ללמוד מנסיבות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בגדר כך אציין כי הנאשם החזיק בביתו באקדח חצי אוטומטי טעון כאשר המחסנית במצב הכנס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 ועוד עשרות כדורי תחמושת בנפרד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ברור אם כן שפוטנציאל הנזק בנסיבות אלו הוא גדול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מדובר בהחזקת נשק טעון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2015/21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אחמד 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9.12.2021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 ערעור שהוגש על גזר דינו של בית המשפט המחוזי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הור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ע על פי הודאתו בעבירות נשק בכך שהוא החזיק ברכבו שני אקדחים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זי קבע כי מתחם העונש ההולם נע בין </w:t>
      </w:r>
      <w:r>
        <w:rPr>
          <w:rFonts w:cs="David" w:ascii="David" w:hAnsi="David"/>
          <w:color w:val="000000"/>
        </w:rPr>
        <w:t>12-30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והשית על הנאשם שנעדר עבר פלילי ותוך שקילת המלצת שירות המבחן להשתת עונש מאסר בעבודות שירות משיקולי שיקום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ווספי אבו אלקיעאן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15.9.2020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מדובר בבקשת רשות ערעור על פסק דינו של בית המשפט המחוזי שקיבל חלקית ערעור על גזר דינו של בית המשפט השלום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 xml:space="preserve">המבקש הורשע לאחר ניהול הוכחות בביצוע עבירות של החזקת נשק ותחמושת לפי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וסיפא בכך שהחזיק בנשק מסוג אקדח חצי אוטומט ברטה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נמצא מתחת לכיסא הנהג ברכבו בצירו</w:t>
      </w:r>
      <w:r>
        <w:rPr>
          <w:rFonts w:ascii="David" w:hAnsi="David"/>
          <w:color w:val="000000"/>
          <w:rtl w:val="true"/>
        </w:rPr>
        <w:t>ף</w:t>
      </w:r>
      <w:r>
        <w:rPr>
          <w:rFonts w:ascii="David" w:hAnsi="David"/>
          <w:color w:val="000000"/>
          <w:rtl w:val="true"/>
        </w:rPr>
        <w:t xml:space="preserve"> מחסנית ובה 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השלום קבע כי מתחם העונש ההולם נע בין </w:t>
      </w:r>
      <w:r>
        <w:rPr>
          <w:rFonts w:cs="David" w:ascii="David" w:hAnsi="David"/>
          <w:color w:val="000000"/>
        </w:rPr>
        <w:t>15-30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והשית על הנאשם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ערעור שהגיש המבקש לבית המשפט המח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זי התקבל בחלקית בכך שהוקל עונשו וע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ד על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בקש רשות ערעור שהוגשה לבית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נדחתה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58852-03-21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אסף פדידה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11.8.2022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הנאשם הורשע על פי הודאתו במסגרת הסדר טיעון בעבירה של החזקת נשק ותחמושת לפי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רישא וסיפר בכך שהחזיק במשאית שבבעלות אקדח מסוג הזנקה שהוסב לירי תחמושת קליעית טעון במחסנית ובה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גזר על הנאשם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זאקי אלהוזייל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25.8.2020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בקשת רשות ערעור על פסק דינו של בית המשפט המחוזי בגדרו נדחה ערעור על גזר דינו של בית המשפט השלום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המבקש הורשע על פי הודאתו בעבירות של החזקת נשק לפי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רישא וסיפא בכך שנמצא מחזיק במקום מגוריו אקדח מסוג </w:t>
      </w:r>
      <w:r>
        <w:rPr>
          <w:rFonts w:cs="David" w:ascii="David" w:hAnsi="David"/>
          <w:color w:val="000000"/>
        </w:rPr>
        <w:t>FN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בקוטר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מ וכן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בעלי קוטר זהה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השלום קבע כי מתחם העונש ההולם נע בין </w:t>
      </w:r>
      <w:r>
        <w:rPr>
          <w:rFonts w:cs="David" w:ascii="David" w:hAnsi="David"/>
          <w:color w:val="000000"/>
        </w:rPr>
        <w:t>11-33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וגזר על המבקש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המחוזי כאמור דחה את הערעור על חומרת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בקשת רשות ערעור לבית המשפט העליון גם נדחתה</w:t>
      </w:r>
      <w:r>
        <w:rPr>
          <w:rFonts w:cs="David" w:ascii="David" w:hAnsi="David"/>
          <w:color w:val="000000"/>
          <w:rtl w:val="true"/>
        </w:rPr>
        <w:t>. (</w:t>
      </w:r>
      <w:r>
        <w:rPr>
          <w:rFonts w:ascii="David" w:hAnsi="David"/>
          <w:color w:val="000000"/>
          <w:rtl w:val="true"/>
        </w:rPr>
        <w:t>אוזכר מטעם המאשימה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45044-04-23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מוחמד עודה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3.5.2023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נתקבל ערעור על גזר דינו של בית המשפט השלום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בנאשם אשר הורשע על פי הודאתו בעבירות של החזקת נשק וכן תחמושת בכך שנמצא מחזיק בבית העסק ששי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ך לו אקדח חצי אוטומטי מסוג </w:t>
      </w:r>
      <w:r>
        <w:rPr>
          <w:rFonts w:cs="David" w:ascii="David" w:hAnsi="David"/>
          <w:color w:val="000000"/>
        </w:rPr>
        <w:t>FN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ובתוכו מחסנית וכן שקית ובה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כדורים בקוטר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גזר על הנאשם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בערעור שהוגש הוחמר העונש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חאלד דסוקי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25.11.2021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 ערעור שהגיש המבקש על חומרת העונש שהושת עליו בבית המשפט המחוזי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מדובר במבקש שהחזיק על גופו אקדח טעון במחסנית עם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תואמים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זי גזר על הנאשם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17925-07-19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24796-06-20</w:t>
        </w:r>
      </w:hyperlink>
      <w:r>
        <w:rPr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16129-03-22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26.5.2024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26387-07-24</w:t>
        </w:r>
      </w:hyperlink>
      <w:r>
        <w:rPr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62062-06-20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4.3.2021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מסכות</w:t>
      </w:r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59298-02-24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קומימי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24.10.2024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30.10.2022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21.3.2023</w:t>
      </w:r>
      <w:r>
        <w:rPr>
          <w:rtl w:val="true"/>
        </w:rPr>
        <w:t>.</w:t>
      </w:r>
    </w:p>
    <w:p>
      <w:pPr>
        <w:pStyle w:val="NoSpacing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מאסר על תנאי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כי הנאשם לא יבצע בתקופה זו עבירת נשק מסוג פשע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NoSpacing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כי הנאשם לא יבצע בתקופה זו עבירת נשק מסוג עוון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51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*</w:t>
        <w:tab/>
      </w: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hyperlink r:id="rId27">
        <w:r>
          <w:rPr>
            <w:rStyle w:val="Hyperlink"/>
          </w:rPr>
          <w:t>www.eca.gov.il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קרדיט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*</w:t>
        <w:tab/>
      </w:r>
      <w:r>
        <w:rPr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*</w:t>
      </w:r>
      <w:r>
        <w:rPr/>
        <w:t>35592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: </w:t>
      </w:r>
      <w:r>
        <w:rPr/>
        <w:t>073-2055000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>*</w:t>
        <w:tab/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נ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בפרוטוקול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 טנוס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20770-11-22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טארק אבו ריא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17954222" TargetMode="External"/><Relationship Id="rId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940943" TargetMode="External"/><Relationship Id="rId11" Type="http://schemas.openxmlformats.org/officeDocument/2006/relationships/hyperlink" Target="http://www.nevo.co.il/case/27491153" TargetMode="External"/><Relationship Id="rId12" Type="http://schemas.openxmlformats.org/officeDocument/2006/relationships/hyperlink" Target="http://www.nevo.co.il/case/26986974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27505674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26913995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case/29611229" TargetMode="External"/><Relationship Id="rId19" Type="http://schemas.openxmlformats.org/officeDocument/2006/relationships/hyperlink" Target="http://www.nevo.co.il/case/27911638" TargetMode="External"/><Relationship Id="rId20" Type="http://schemas.openxmlformats.org/officeDocument/2006/relationships/hyperlink" Target="http://www.nevo.co.il/case/25846689" TargetMode="External"/><Relationship Id="rId21" Type="http://schemas.openxmlformats.org/officeDocument/2006/relationships/hyperlink" Target="http://www.nevo.co.il/case/26745252" TargetMode="External"/><Relationship Id="rId22" Type="http://schemas.openxmlformats.org/officeDocument/2006/relationships/hyperlink" Target="http://www.nevo.co.il/case/28382004" TargetMode="External"/><Relationship Id="rId23" Type="http://schemas.openxmlformats.org/officeDocument/2006/relationships/hyperlink" Target="http://www.nevo.co.il/case/31923542" TargetMode="External"/><Relationship Id="rId24" Type="http://schemas.openxmlformats.org/officeDocument/2006/relationships/hyperlink" Target="http://www.nevo.co.il/case/4552738" TargetMode="External"/><Relationship Id="rId25" Type="http://schemas.openxmlformats.org/officeDocument/2006/relationships/hyperlink" Target="http://www.nevo.co.il/case/26790733" TargetMode="External"/><Relationship Id="rId26" Type="http://schemas.openxmlformats.org/officeDocument/2006/relationships/hyperlink" Target="http://www.nevo.co.il/case/30472303" TargetMode="External"/><Relationship Id="rId27" Type="http://schemas.openxmlformats.org/officeDocument/2006/relationships/hyperlink" Target="http://www.eca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2024-11-24T13:19:00Z</dcterms:created>
  <dc:creator> </dc:creator>
  <dc:description/>
  <cp:keywords/>
  <dc:language>en-IL</dc:language>
  <cp:lastModifiedBy>h1</cp:lastModifiedBy>
  <dcterms:modified xsi:type="dcterms:W3CDTF">2024-11-24T13:19:00Z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אבו ריא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17954222;7791493;25824863;25940943;27491153;26986974;27505674;26913995;29611229;27911638;25846689;26745252;28382004;31923542;4552738;26790733;30472303</vt:lpwstr>
  </property>
  <property fmtid="{D5CDD505-2E9C-101B-9397-08002B2CF9AE}" pid="9" name="CITY">
    <vt:lpwstr>עכו</vt:lpwstr>
  </property>
  <property fmtid="{D5CDD505-2E9C-101B-9397-08002B2CF9AE}" pid="10" name="DATE">
    <vt:lpwstr>20241121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ג'ני טנוס</vt:lpwstr>
  </property>
  <property fmtid="{D5CDD505-2E9C-101B-9397-08002B2CF9AE}" pid="14" name="LAWLISTTMP1">
    <vt:lpwstr>70301/144.a:5</vt:lpwstr>
  </property>
  <property fmtid="{D5CDD505-2E9C-101B-9397-08002B2CF9AE}" pid="15" name="LAWYER">
    <vt:lpwstr>באסל פלאח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20770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380020241121</vt:lpwstr>
  </property>
  <property fmtid="{D5CDD505-2E9C-101B-9397-08002B2CF9AE}" pid="34" name="TYPE_N_DATE">
    <vt:lpwstr>38020241121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