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20784-11-13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גל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פרקליטות מחוז מרכז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מוניר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ברהום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כרמל גל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עוז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יקיר קידר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7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</w:t>
            </w:r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לגבי הנאשמים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. </w:t>
      </w:r>
      <w:r>
        <w:rPr>
          <w:rFonts w:cs="Calibri" w:ascii="Calibri" w:hAnsi="Calibri"/>
          <w:b/>
          <w:bCs/>
          <w:sz w:val="28"/>
          <w:szCs w:val="28"/>
          <w:rtl w:val="true"/>
        </w:rPr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ותמצית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הכרעת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כנגד שלוש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כרמל גל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עוז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כרמל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יקיר קידר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יקיר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שחר שריר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שחר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הוגש כתב אישום אשר מייחס להם עבירה של תקיפה בנסיבות מחמירות לפי </w:t>
      </w:r>
      <w:r>
        <w:rPr>
          <w:rFonts w:ascii="Arial" w:hAnsi="Arial" w:cs="Arial"/>
          <w:color w:val="000000"/>
          <w:rtl w:val="true"/>
        </w:rPr>
        <w:t>סעיפים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u w:val="single"/>
          </w:rPr>
          <w:t>380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שלושת </w:t>
      </w:r>
      <w:r>
        <w:rPr>
          <w:rFonts w:ascii="Arial" w:hAnsi="Arial" w:cs="Arial"/>
          <w:rtl w:val="true"/>
        </w:rPr>
        <w:t xml:space="preserve">הנאשמים שימשו כסוהרי ביטחון בבית סוהר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מר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– מג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ן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בית הסוהר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29.1.12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22:06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הובהל האסיר עיסא דענא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עיסא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לחדר המיון בבית החולים אסף הרופא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חדר המיון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בעקבות </w:t>
      </w:r>
      <w:bookmarkStart w:id="9" w:name="ABSTRACT_END"/>
      <w:bookmarkEnd w:id="9"/>
      <w:r>
        <w:rPr>
          <w:rFonts w:ascii="Arial" w:hAnsi="Arial" w:cs="Arial"/>
          <w:rtl w:val="true"/>
        </w:rPr>
        <w:t>התקף אפילפסיה קשה כשהוא מלווה בצוות סוהרים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 את הנאשמים ואת מפקד הכוח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הסוהר נזיה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ריפאת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נזיה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באותו מועד בשעה </w:t>
      </w:r>
      <w:r>
        <w:rPr>
          <w:rFonts w:cs="Arial" w:ascii="Arial" w:hAnsi="Arial"/>
        </w:rPr>
        <w:t>23:00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התעורר עיסא מתרדמתו כשרגלו קשורה למיטתו באזיק וביקש לעשן סיגריה ולחזור לבית הסוהר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נזיה הסביר לעיסא כי עליו להיבדק על ידי רופא טרם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ובתגובה החל עיסא להרים את קולו ולצעוק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כרמל הורה לאסיר להירגע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שאם לא כך ייאלץ לכבול את 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ניבל עיסא את פיו לעבר כרמל ואמר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אתה יכול לכבול את הזין שלי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החל להשתולל והכה באגרופו בחזהו של כרמל וכן בעט בפניו של יקיר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התנפל כרמל על עיסא והחל להכותו בפניו בסטירות ובאגרופים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יקיר התנפל אף הוא על עיסא והיכה אותו מספר פעמים בפניו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באמצעות האזיקים שהיו אותה עת בידו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שחר הכה את האסיר בבטנו במכת אגרוף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במקביל נתן מפקד הכוח נזיה הוראה לכבול את ידיו של עיסא למיטה וידיו נכבלו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עקב תקיפת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נגרמו לעיסא  המטומה מסביב לעין 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המטומה בלחמית העין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נפיחות סביב עין 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סימן שפשוף בקרקפת וחתך מדמם בלחי והוא נזקק לטיפול רפואי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במעשיהם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בכתב האישום כי </w:t>
      </w:r>
      <w:r>
        <w:rPr>
          <w:rFonts w:ascii="Arial" w:hAnsi="Arial" w:cs="Arial"/>
          <w:rtl w:val="true"/>
        </w:rPr>
        <w:t xml:space="preserve">שלושת </w:t>
      </w:r>
      <w:r>
        <w:rPr>
          <w:rFonts w:ascii="Arial" w:hAnsi="Arial" w:cs="Arial"/>
          <w:rtl w:val="true"/>
        </w:rPr>
        <w:t>הנאשמים חרגו מסמכותם כדין והפעילו כוח שאיננו סביר כלפי עיסא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תקפו בחבורה את עיסא וגרמו לו לחבלה של 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15.12.2016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הורשעו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לכרמל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-"</w:t>
      </w:r>
      <w:r>
        <w:rPr>
          <w:rFonts w:ascii="Calibri" w:hAnsi="Calibri" w:cs="Calibri"/>
          <w:rtl w:val="true"/>
        </w:rPr>
        <w:t>מטרה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>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</w:t>
      </w:r>
      <w:r>
        <w:rPr>
          <w:rFonts w:ascii="Calibri" w:hAnsi="Calibri" w:cs="Calibri"/>
          <w:rtl w:val="true"/>
        </w:rPr>
        <w:t>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20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עיסא נחבל </w:t>
      </w:r>
      <w:r>
        <w:rPr>
          <w:rFonts w:ascii="Arial" w:hAnsi="Arial" w:cs="Arial"/>
          <w:u w:val="single"/>
          <w:rtl w:val="true"/>
        </w:rPr>
        <w:t>בעיקר בפניו ובראשו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נגרמו לו שטפי דם בשתי העיניים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עדויותיהם של עיסא ונזיה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לפיהן יקיר וכרמל נתנו לעיסא מכות בפניו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תומכות אחת בשניה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המשקל הגבוה שיש לייחס לשתי העדויות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עדויות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נזיה ועיסא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נתמכות גם בתיעוד רפואי לגבי סימני החבלה שנותרו על פניו של עיסא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קובע שיש להעדיף את גרסתו של נזיה ושנתמכת בעדותו של עיסא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 הגרסאות שנמסרו על ידי כרמל ויקיר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אודות תקיפתו של עיסא באזור 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הצידוק לשימוש בכוח סביר כנגד עיסא הוא על מנת להשיג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המטרה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המצומצמת בדבר אזיקת 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הווה 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על הנאשמים להשתלט על </w:t>
      </w:r>
      <w:r>
        <w:rPr>
          <w:rFonts w:ascii="Arial" w:hAnsi="Arial" w:cs="Arial"/>
          <w:u w:val="single"/>
          <w:rtl w:val="true"/>
        </w:rPr>
        <w:t>ידיו של עיסא ועל רגלו הלא אזוקה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וגפיים אלה הן שסיכנו את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נזיה וכן את שאר הנוכחים בחדר המיון בבית החולים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ראשו של עיסא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לרבות 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היו מקור של סיכון עבור הנאשמים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עבור נזיה ועבור שאר הנוכחים בחדר המיון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במילים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צורך להכות את עיסא בפניו על מנת להשיג את המטרה של כבילת ידיו עם אזיק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דברים אלה מקבלים משנה תוקף לאור </w:t>
      </w:r>
      <w:r>
        <w:rPr>
          <w:rFonts w:ascii="Arial" w:hAnsi="Arial" w:cs="Arial"/>
          <w:u w:val="single"/>
          <w:rtl w:val="true"/>
        </w:rPr>
        <w:t xml:space="preserve">עוצמת הכוח </w:t>
      </w:r>
      <w:r>
        <w:rPr>
          <w:rFonts w:ascii="Arial" w:hAnsi="Arial" w:cs="Arial"/>
          <w:rtl w:val="true"/>
        </w:rPr>
        <w:t>שהופעל על פניו של עיסא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החבלות הקשות שנגרמו לו בפניו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3600" w:end="0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המשך תקיפתו של עיסא לאחר איזוקו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מעדותם של נזיה ועיסא עלה כי נזיה חזר מספר פעמים על המילה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u w:val="single"/>
          <w:rtl w:val="true"/>
        </w:rPr>
        <w:t>מספיק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וזאת כאינדיקציה לכך שהמכות של יקיר וכרמל המשיכו גם לאחר שהושגה המטרה בדבר איזוקו של עיסא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ברור שמדובר בשימוש בכוח </w:t>
      </w:r>
      <w:r>
        <w:rPr>
          <w:rFonts w:ascii="Arial" w:hAnsi="Arial" w:cs="Arial"/>
          <w:u w:val="single"/>
          <w:rtl w:val="true"/>
        </w:rPr>
        <w:t>הרבה מעבר לנדרש</w:t>
      </w:r>
      <w:r>
        <w:rPr>
          <w:rFonts w:ascii="Arial" w:hAnsi="Arial" w:cs="Arial"/>
          <w:rtl w:val="true"/>
        </w:rPr>
        <w:t xml:space="preserve"> לצורך השגת ה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מטרה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בדבר אזיקת ידיו של עיסא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 w:before="0" w:after="200"/>
        <w:ind w:start="360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באופן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בלעדי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-"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-"</w:t>
      </w:r>
      <w:r>
        <w:rPr>
          <w:rFonts w:ascii="Calibri" w:hAnsi="Calibri" w:cs="Calibri"/>
          <w:u w:val="single"/>
          <w:rtl w:val="true"/>
        </w:rPr>
        <w:t>אלימו</w:t>
      </w:r>
      <w:r>
        <w:rPr>
          <w:rFonts w:ascii="Calibri" w:hAnsi="Calibri" w:cs="Calibri"/>
          <w:u w:val="single"/>
          <w:rtl w:val="true"/>
        </w:rPr>
        <w:t>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מיותרת</w:t>
      </w:r>
      <w:r>
        <w:rPr>
          <w:rFonts w:cs="Calibri" w:ascii="Calibri" w:hAnsi="Calibri"/>
          <w:rtl w:val="true"/>
        </w:rPr>
        <w:t>". 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שחר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אגרוף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אחד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בלבד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באזור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הבטן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בבטנו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האגרוף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-"</w:t>
      </w:r>
      <w:r>
        <w:rPr>
          <w:rFonts w:ascii="Calibri" w:hAnsi="Calibri" w:cs="Calibri"/>
          <w:rtl w:val="true"/>
        </w:rPr>
        <w:t>מטרה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להתקפלות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צידוק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פסקאות </w:t>
      </w:r>
      <w:r>
        <w:rPr>
          <w:rFonts w:cs="Calibri" w:ascii="Calibri" w:hAnsi="Calibri"/>
        </w:rPr>
        <w:t>51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להכרעת הדין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. </w:t>
      </w:r>
      <w:r>
        <w:rPr>
          <w:rFonts w:cs="Calibri" w:ascii="Calibri" w:hAnsi="Calibri"/>
          <w:b/>
          <w:bCs/>
          <w:sz w:val="28"/>
          <w:szCs w:val="28"/>
          <w:rtl w:val="true"/>
        </w:rPr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נתקבל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בתמצית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בתפקידים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 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>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לניתוח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שרות המבחן </w:t>
      </w:r>
      <w:r>
        <w:rPr>
          <w:rFonts w:ascii="Calibri" w:hAnsi="Calibri" w:cs="Calibri"/>
          <w:rtl w:val="true"/>
        </w:rPr>
        <w:t>המל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את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להטיל עליו </w:t>
      </w:r>
      <w:r>
        <w:rPr>
          <w:rFonts w:cs="Calibri" w:ascii="Calibri" w:hAnsi="Calibri"/>
        </w:rPr>
        <w:t>250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בכל מקרה נראה כי </w:t>
      </w:r>
      <w:r>
        <w:rPr>
          <w:rFonts w:ascii="Calibri" w:hAnsi="Calibri" w:cs="Calibri"/>
          <w:rtl w:val="true"/>
        </w:rPr>
        <w:t>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בתמצית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יקיר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יקיר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לעונש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טחונם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ליקיר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וכן הוסיפה 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פרובוקציה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לכרמל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שכרמל הוא סוהר בעל ותק משמעותי בשרות בתי הסוהר שזכה לשבחים על מסירותו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אחריותו ותפקודו התקין לאורך השנים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 חוות דעת תקופתית של שירות בתי הסוהר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21.1.2014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בפני ענף המשמעת של סוהרים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פיטוריו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ענף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פיטוריו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לכן בכל ה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פיטוריו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במיוחד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ארוכות</w:t>
      </w:r>
      <w:r>
        <w:rPr>
          <w:rFonts w:ascii="Calibri" w:hAnsi="Calibri" w:cs="Calibri"/>
          <w:rtl w:val="true"/>
        </w:rPr>
        <w:t xml:space="preserve"> ולאור ה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. </w:t>
      </w:r>
      <w:r>
        <w:rPr>
          <w:rFonts w:cs="Calibri" w:ascii="Calibri" w:hAnsi="Calibri"/>
          <w:b/>
          <w:bCs/>
          <w:sz w:val="28"/>
          <w:szCs w:val="28"/>
          <w:rtl w:val="true"/>
        </w:rPr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האינטרס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החברתי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המוגן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 xml:space="preserve">.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7141/05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מפכ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27.2.06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לשרוד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עע</w:t>
      </w:r>
      <w:r>
        <w:rPr>
          <w:rtl w:val="true"/>
        </w:rPr>
        <w:t>"</w:t>
      </w:r>
      <w:hyperlink r:id="rId13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4463/94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גולן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שירות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136</w:t>
      </w:r>
      <w:r>
        <w:rPr>
          <w:rtl w:val="true"/>
        </w:rPr>
        <w:t xml:space="preserve">, </w:t>
      </w:r>
      <w:r>
        <w:rPr/>
        <w:t>151</w:t>
      </w:r>
      <w:r>
        <w:rPr>
          <w:rtl w:val="true"/>
        </w:rPr>
        <w:t xml:space="preserve"> – </w:t>
      </w:r>
      <w:r>
        <w:rPr/>
        <w:t>153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בג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355/79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קטלן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שירות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הסוהר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לד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294</w:t>
      </w:r>
      <w:r>
        <w:rPr>
          <w:rtl w:val="true"/>
        </w:rPr>
        <w:t xml:space="preserve">, </w:t>
      </w:r>
      <w:r>
        <w:rPr/>
        <w:t>298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540/84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יוסף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מנהל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המרכזי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ביהודה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ושומרון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567</w:t>
      </w:r>
      <w:r>
        <w:rPr>
          <w:rtl w:val="true"/>
        </w:rPr>
        <w:t xml:space="preserve">, </w:t>
      </w:r>
      <w:r>
        <w:rPr/>
        <w:t>573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 xml:space="preserve">)).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 xml:space="preserve">"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7440/97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. </w:t>
      </w:r>
      <w:r>
        <w:rPr>
          <w:rFonts w:cs="Calibri" w:ascii="Calibri" w:hAnsi="Calibri"/>
          <w:b/>
          <w:bCs/>
          <w:sz w:val="28"/>
          <w:szCs w:val="28"/>
          <w:rtl w:val="true"/>
        </w:rPr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אביא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דוגמאות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שבמ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>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בעינה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לביטול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נדחתה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u w:val="single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8241/13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25.3.14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u w:val="single"/>
          <w:rtl w:val="true"/>
        </w:rPr>
        <w:t>בקשתו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לביטול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9486/11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לחקירות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28.12.11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בנשקו</w:t>
      </w:r>
      <w:r>
        <w:rPr>
          <w:rtl w:val="true"/>
        </w:rPr>
        <w:t xml:space="preserve">.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מהמכולה</w:t>
      </w:r>
      <w:r>
        <w:rPr>
          <w:rtl w:val="true"/>
        </w:rPr>
        <w:t xml:space="preserve">,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בחפציהם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מרכושם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ו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הותיר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6009/15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קושמקוב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8.9.2015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cs="Calibri" w:ascii="Calibri" w:hAnsi="Calibri"/>
            <w:color w:val="0000FF"/>
            <w:u w:val="single"/>
          </w:rPr>
          <w:t>380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cs="Calibri" w:ascii="Calibri" w:hAnsi="Calibri"/>
            <w:color w:val="0000FF"/>
            <w:u w:val="single"/>
          </w:rPr>
          <w:t>382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טרוניו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חוסר כבוד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בצלעות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המטומה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לקולא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ביטול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ההרשעה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והטיל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אחד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מהם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200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שעות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לתועלת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הציבור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ותשלום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ה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להחלטתו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0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"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האמונים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tl w:val="true"/>
        </w:rPr>
        <w:t>.</w:t>
      </w:r>
      <w:r>
        <w:rPr>
          <w:rFonts w:cs="Calibri" w:ascii="Calibri" w:hAnsi="Calibri"/>
          <w:rtl w:val="true"/>
        </w:rPr>
        <w:t xml:space="preserve">" </w:t>
      </w:r>
    </w:p>
    <w:p>
      <w:pPr>
        <w:pStyle w:val="Normal"/>
        <w:spacing w:lineRule="auto" w:line="360" w:before="0" w:after="200"/>
        <w:ind w:start="360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ההדגשה שלי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ה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')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3021/16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לוזובסקי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](</w:t>
      </w:r>
      <w:r>
        <w:rPr>
          <w:rFonts w:cs="Calibri" w:ascii="Calibri" w:hAnsi="Calibri"/>
        </w:rPr>
        <w:t>19.4.2016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שפך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עליי</w:t>
      </w:r>
      <w:r>
        <w:rPr>
          <w:rFonts w:cs="Calibri" w:ascii="Calibri" w:hAnsi="Calibri"/>
          <w:rtl w:val="true"/>
        </w:rPr>
        <w:t xml:space="preserve">?",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להסתכל</w:t>
      </w:r>
      <w:r>
        <w:rPr>
          <w:rFonts w:cs="Calibri" w:ascii="Calibri" w:hAnsi="Calibri"/>
          <w:rtl w:val="true"/>
        </w:rPr>
        <w:t>?!"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באוזנו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סטירה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באוזנו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על </w:t>
      </w:r>
      <w:r>
        <w:rPr>
          <w:rFonts w:ascii="Calibri" w:hAnsi="Calibri" w:cs="Calibri"/>
          <w:rtl w:val="true"/>
        </w:rPr>
        <w:t>הישגיו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הרשיעו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לריצוי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להחלטתו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start="3600" w:end="0"/>
        <w:jc w:val="both"/>
        <w:rPr>
          <w:rFonts w:ascii="Century" w:hAnsi="Century" w:cs="Century"/>
          <w:spacing w:val="10"/>
          <w:sz w:val="20"/>
          <w:szCs w:val="20"/>
        </w:rPr>
      </w:pPr>
      <w:r>
        <w:rPr>
          <w:rFonts w:cs="Century" w:ascii="Century" w:hAnsi="Century"/>
          <w:spacing w:val="10"/>
          <w:rtl w:val="true"/>
        </w:rPr>
        <w:t>"</w:t>
      </w:r>
      <w:r>
        <w:rPr>
          <w:rFonts w:ascii="Century" w:hAnsi="Century" w:cs="Century"/>
          <w:spacing w:val="10"/>
          <w:rtl w:val="true"/>
        </w:rPr>
        <w:t>מה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גם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שאין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רבותא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בכך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שעסקינן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בשוטרים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המנהלים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אורח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חיים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נורמטיבי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כפי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שחזר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והדגיש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המערער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בענייננו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שהרי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אלמלא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נתון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זה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ספק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אם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היו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מתקבלים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לעבודה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בשורות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המשטרה</w:t>
      </w:r>
      <w:r>
        <w:rPr>
          <w:rFonts w:cs="Century" w:ascii="Century" w:hAnsi="Century"/>
          <w:spacing w:val="10"/>
          <w:rtl w:val="true"/>
        </w:rPr>
        <w:t xml:space="preserve">. </w:t>
      </w:r>
      <w:r>
        <w:rPr>
          <w:rFonts w:ascii="Century" w:hAnsi="Century" w:cs="Century"/>
          <w:b/>
          <w:b/>
          <w:bCs/>
          <w:spacing w:val="10"/>
          <w:rtl w:val="true"/>
        </w:rPr>
        <w:t>תמים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דעים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אני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עם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קביעת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הערכאות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הקודמות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כי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ההשלכה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האפשרית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בדבר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סיום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תפקידו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של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המבקש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במשטרה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בגין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הרשעתו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במקרה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זה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אינה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שלילית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בהכרח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ומהווה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פועל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יוצא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ממעשיו</w:t>
      </w:r>
      <w:r>
        <w:rPr>
          <w:rFonts w:cs="Century" w:ascii="Century" w:hAnsi="Century"/>
          <w:spacing w:val="10"/>
          <w:rtl w:val="true"/>
        </w:rPr>
        <w:t xml:space="preserve">. </w:t>
      </w:r>
      <w:r>
        <w:rPr>
          <w:rFonts w:ascii="Century" w:hAnsi="Century" w:cs="Century"/>
          <w:spacing w:val="10"/>
          <w:rtl w:val="true"/>
        </w:rPr>
        <w:t>מעשים</w:t>
      </w:r>
      <w:r>
        <w:rPr>
          <w:rFonts w:cs="Century" w:ascii="Century" w:hAnsi="Century"/>
          <w:spacing w:val="10"/>
          <w:rtl w:val="true"/>
        </w:rPr>
        <w:t xml:space="preserve">, </w:t>
      </w:r>
      <w:r>
        <w:rPr>
          <w:rFonts w:ascii="Century" w:hAnsi="Century" w:cs="Century"/>
          <w:spacing w:val="10"/>
          <w:rtl w:val="true"/>
        </w:rPr>
        <w:t>אשר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פוגעים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באופן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חריף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באמון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הציבור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וכן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במעמדם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וכבודם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של</w:t>
      </w:r>
      <w:r>
        <w:rPr>
          <w:rFonts w:ascii="Century" w:hAnsi="Century" w:cs="Century"/>
          <w:spacing w:val="10"/>
          <w:rtl w:val="true"/>
        </w:rPr>
        <w:t xml:space="preserve"> </w:t>
      </w:r>
      <w:r>
        <w:rPr>
          <w:rFonts w:ascii="Century" w:hAnsi="Century" w:cs="Century"/>
          <w:spacing w:val="10"/>
          <w:rtl w:val="true"/>
        </w:rPr>
        <w:t>השוטרים</w:t>
      </w:r>
      <w:r>
        <w:rPr>
          <w:rFonts w:cs="Century" w:ascii="Century" w:hAnsi="Century"/>
          <w:spacing w:val="10"/>
          <w:rtl w:val="true"/>
        </w:rPr>
        <w:t>.</w:t>
      </w:r>
      <w:r>
        <w:rPr>
          <w:rFonts w:cs="Century" w:ascii="Century" w:hAnsi="Century"/>
          <w:spacing w:val="10"/>
          <w:rtl w:val="true"/>
        </w:rPr>
        <w:t>"</w:t>
      </w:r>
      <w:r>
        <w:rPr>
          <w:rFonts w:cs="Century" w:ascii="Century" w:hAnsi="Century"/>
          <w:spacing w:val="10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start="3600" w:end="0"/>
        <w:jc w:val="both"/>
        <w:rPr>
          <w:rFonts w:ascii="Century" w:hAnsi="Century" w:cs="Century"/>
          <w:spacing w:val="10"/>
          <w:sz w:val="20"/>
          <w:szCs w:val="20"/>
        </w:rPr>
      </w:pPr>
      <w:r>
        <w:rPr>
          <w:rFonts w:cs="Century" w:ascii="Century" w:hAnsi="Century"/>
          <w:spacing w:val="10"/>
          <w:sz w:val="20"/>
          <w:szCs w:val="20"/>
          <w:rtl w:val="true"/>
        </w:rPr>
        <w:t>(</w:t>
      </w:r>
      <w:r>
        <w:rPr>
          <w:rFonts w:ascii="Century" w:hAnsi="Century" w:cs="Century"/>
          <w:spacing w:val="10"/>
          <w:sz w:val="20"/>
          <w:sz w:val="20"/>
          <w:szCs w:val="20"/>
          <w:rtl w:val="true"/>
        </w:rPr>
        <w:t xml:space="preserve">ההדגשות שלי </w:t>
      </w:r>
      <w:r>
        <w:rPr>
          <w:rFonts w:ascii="Century" w:hAnsi="Century" w:cs="Century"/>
          <w:spacing w:val="10"/>
          <w:sz w:val="20"/>
          <w:sz w:val="20"/>
          <w:szCs w:val="20"/>
          <w:rtl w:val="true"/>
        </w:rPr>
        <w:t>–</w:t>
      </w:r>
      <w:r>
        <w:rPr>
          <w:rFonts w:ascii="Century" w:hAnsi="Century" w:cs="Century"/>
          <w:spacing w:val="10"/>
          <w:sz w:val="20"/>
          <w:sz w:val="20"/>
          <w:szCs w:val="20"/>
          <w:rtl w:val="true"/>
        </w:rPr>
        <w:t xml:space="preserve"> ה</w:t>
      </w:r>
      <w:r>
        <w:rPr>
          <w:rFonts w:cs="Century" w:ascii="Century" w:hAnsi="Century"/>
          <w:spacing w:val="10"/>
          <w:sz w:val="20"/>
          <w:szCs w:val="20"/>
          <w:rtl w:val="true"/>
        </w:rPr>
        <w:t>'</w:t>
      </w:r>
      <w:r>
        <w:rPr>
          <w:rFonts w:ascii="Century" w:hAnsi="Century" w:cs="Century"/>
          <w:spacing w:val="10"/>
          <w:sz w:val="20"/>
          <w:sz w:val="20"/>
          <w:szCs w:val="20"/>
          <w:rtl w:val="true"/>
        </w:rPr>
        <w:t>א</w:t>
      </w:r>
      <w:r>
        <w:rPr>
          <w:rFonts w:cs="Century" w:ascii="Century" w:hAnsi="Century"/>
          <w:spacing w:val="10"/>
          <w:sz w:val="20"/>
          <w:szCs w:val="20"/>
          <w:rtl w:val="true"/>
        </w:rPr>
        <w:t>'</w:t>
      </w:r>
      <w:r>
        <w:rPr>
          <w:rFonts w:ascii="Century" w:hAnsi="Century" w:cs="Century"/>
          <w:spacing w:val="10"/>
          <w:sz w:val="20"/>
          <w:sz w:val="20"/>
          <w:szCs w:val="20"/>
          <w:rtl w:val="true"/>
        </w:rPr>
        <w:t>ש</w:t>
      </w:r>
      <w:r>
        <w:rPr>
          <w:rFonts w:cs="Century" w:ascii="Century" w:hAnsi="Century"/>
          <w:spacing w:val="10"/>
          <w:sz w:val="20"/>
          <w:szCs w:val="20"/>
          <w:rtl w:val="true"/>
        </w:rPr>
        <w:t>')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spacing w:val="10"/>
          <w:sz w:val="20"/>
          <w:szCs w:val="20"/>
        </w:rPr>
      </w:pPr>
      <w:r>
        <w:rPr>
          <w:rFonts w:cs="Calibri" w:ascii="Calibri" w:hAnsi="Calibri"/>
          <w:spacing w:val="10"/>
          <w:sz w:val="20"/>
          <w:szCs w:val="20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71669/04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אהרוני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12.7.06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בשולחן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ונדחתה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בקשתו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לביטול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8.9.09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צלמון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מהכיסא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בברכו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במקלחת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'–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3181-02-08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22.4.09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. </w:t>
      </w:r>
      <w:r>
        <w:rPr>
          <w:rtl w:val="true"/>
        </w:rPr>
        <w:t>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בעיטות</w:t>
      </w:r>
      <w:r>
        <w:rPr>
          <w:rtl w:val="true"/>
        </w:rPr>
        <w:t xml:space="preserve">, </w:t>
      </w:r>
      <w:r>
        <w:rPr>
          <w:rtl w:val="true"/>
        </w:rPr>
        <w:t>הפלה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ובגוף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לתפרו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בעפעפיים</w:t>
      </w:r>
      <w:r>
        <w:rPr>
          <w:rtl w:val="true"/>
        </w:rPr>
        <w:t xml:space="preserve">,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ובכתף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, </w:t>
      </w:r>
      <w:r>
        <w:rPr>
          <w:rtl w:val="true"/>
        </w:rPr>
        <w:t>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עוריים</w:t>
      </w:r>
      <w:r>
        <w:rPr>
          <w:rtl w:val="true"/>
        </w:rPr>
        <w:t xml:space="preserve">,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,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בעפעפיים</w:t>
      </w:r>
      <w:r>
        <w:rPr>
          <w:rtl w:val="true"/>
        </w:rPr>
        <w:t xml:space="preserve">,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240" w:after="200"/>
        <w:ind w:hanging="720" w:start="720" w:end="0"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ועד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בצירוף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קנס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ופיצוי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שנקבע </w:t>
      </w:r>
      <w:r>
        <w:rPr>
          <w:rFonts w:ascii="Calibri" w:hAnsi="Calibri" w:cs="Calibri"/>
          <w:rtl w:val="true"/>
        </w:rPr>
        <w:t>מושפע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מהאמור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-"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לרבות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עקב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התגרות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ascii="Calibri" w:hAnsi="Calibri" w:cs="Calibri"/>
          <w:u w:val="single"/>
          <w:rtl w:val="true"/>
        </w:rPr>
        <w:t>פגע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240" w:after="200"/>
        <w:ind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240" w:after="200"/>
        <w:ind w:hanging="720" w:start="720"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סירובם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לעשן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סיגריה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יוזכר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נמרצות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כאלימות מיותרת שמנותקת לחלוטין </w:t>
      </w:r>
      <w:r>
        <w:rPr>
          <w:rFonts w:ascii="Calibri" w:hAnsi="Calibri" w:cs="Calibri"/>
          <w:rtl w:val="true"/>
        </w:rPr>
        <w:t>מהמ</w:t>
      </w:r>
      <w:r>
        <w:rPr>
          <w:rFonts w:ascii="Calibri" w:hAnsi="Calibri" w:cs="Calibri"/>
          <w:rtl w:val="true"/>
        </w:rPr>
        <w:t>טרה של כבילת גפיו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240" w:after="200"/>
        <w:ind w:hanging="720" w:start="720"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מתחם העונש ההולם אמור לשקף בצורה נכונה את האיזון בין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מידת האשם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בביצוע העבירה לבין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מידת הנזק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שנגרם כתוצאה מביצועה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כאשר מציבים את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בניכוי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התורם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למול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לעיל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00"/>
        <w:ind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240" w:after="200"/>
        <w:ind w:end="0"/>
        <w:jc w:val="both"/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cs="Calibri" w:ascii="Calibri" w:hAnsi="Calibri"/>
          <w:sz w:val="28"/>
          <w:szCs w:val="28"/>
          <w:rtl w:val="true"/>
        </w:rPr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ביטול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כרמל</w:t>
      </w:r>
    </w:p>
    <w:p>
      <w:pPr>
        <w:pStyle w:val="Normal"/>
        <w:spacing w:lineRule="auto" w:line="360" w:before="24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21.1.2014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לאחר שהוגש נגדו כתב האישום בתיק 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הודעת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השימוע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 w:before="240" w:after="200"/>
        <w:ind w:hanging="720" w:start="360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החשדות נגדך כפי שבאים לידי ביטוי בכתב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 כי מדובר בביצוע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לכאורה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 עבירה פלילית המהווה הפרה חמורה של נורמות התנהגות בכל ארגון ובשב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שהינו ארגון בטחוני בפרט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00"/>
        <w:ind w:hanging="525" w:start="360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עבירה של תקיפה וכל שכן עבירת תקיפה בנסיבות מחמירות הינה עבירה פלילית אשר מעצם טבעה אינה מאפשרת לסוהר להמשיך לשרת בארגון בטחוני</w:t>
      </w:r>
      <w:r>
        <w:rPr>
          <w:rFonts w:ascii="Calibri" w:hAnsi="Calibri" w:cs="Calibri"/>
          <w:rtl w:val="true"/>
        </w:rPr>
        <w:t xml:space="preserve"> ויש בה כדי להצביע על שימוש בכח לא מידתי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00"/>
        <w:ind w:hanging="525" w:start="360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אדם המשרת בארגון ביטחוני וכל שכן בארגון כשב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מחויב להפעיל שיקול דעת כאשר הוא עושה שימוש בכח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 כתב האישום מצביעות לכאורה כי פעלת באופן חמור וללא כל שיקול דעת באשר לתוצאות מעשיך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00"/>
        <w:ind w:hanging="720" w:start="360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סוהר אשר עובד בשירות בתי הסוהר מחויב לאמות מידה גבוהות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המהוות בסיס לכל תפקודו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מעשיך מלמדים כי אמות המידה המחייבות 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אינם עולים לכאורה בקנה אחד עם עובדות כתב האישום שהוגש נגדך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00"/>
        <w:ind w:hanging="720" w:start="360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התנהגותך זו גורמת לפגיעה במשמעת הארגון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בשמו הטוב ובתדמיתו</w:t>
      </w:r>
      <w:r>
        <w:rPr>
          <w:rFonts w:ascii="Calibri" w:hAnsi="Calibri" w:cs="Calibri"/>
          <w:rtl w:val="true"/>
        </w:rPr>
        <w:t xml:space="preserve"> ומהווים הפרה חמורה של נורמות התנהגות  המחייבות סוהרים 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00"/>
        <w:ind w:hanging="720" w:start="360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מכלול האמור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מצביע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לכאורה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 אינך מתאים עוד לשרת בשב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00"/>
        <w:ind w:hanging="720" w:start="360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זאת 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 במעשיך כדי הפרה חמורה של חובותיך כסוהר ולכאורה אף קלון בצדם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 יוחלט על הפסקת שירותך תישקל גם שלילה או הפחתה של הפיצויים להם הינך זכאי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spacing w:lineRule="auto" w:line="360" w:before="24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24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שנוש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מפסיקתו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חשוד על ידי 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או של </w:t>
      </w:r>
      <w:r>
        <w:rPr>
          <w:rFonts w:ascii="Calibri" w:hAnsi="Calibri" w:cs="Calibri"/>
          <w:rtl w:val="true"/>
        </w:rPr>
        <w:t>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00"/>
        <w:ind w:hanging="720"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240" w:after="200"/>
        <w:ind w:hanging="720" w:start="720" w:end="0"/>
        <w:jc w:val="both"/>
        <w:rPr/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הפרמטר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שהפרמטר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מצטברים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00"/>
        <w:ind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24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פיטורין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שישנו חשש ממשי לפיטורין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00"/>
        <w:ind w:hanging="720"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240" w:after="200"/>
        <w:ind w:hanging="720" w:start="720" w:end="0"/>
        <w:jc w:val="both"/>
        <w:rPr/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ובתי המשפט המחוזיים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כפי </w:t>
      </w:r>
      <w:r>
        <w:rPr>
          <w:rFonts w:ascii="Calibri" w:hAnsi="Calibri" w:cs="Calibri"/>
          <w:rtl w:val="true"/>
        </w:rPr>
        <w:t>שהובאה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נדחית</w:t>
      </w:r>
      <w:r>
        <w:rPr>
          <w:rFonts w:cs="Calibri" w:ascii="Calibri" w:hAnsi="Calibri"/>
          <w:sz w:val="16"/>
          <w:szCs w:val="16"/>
          <w:rtl w:val="true"/>
        </w:rPr>
        <w:t>.</w:t>
      </w:r>
    </w:p>
    <w:p>
      <w:pPr>
        <w:pStyle w:val="Normal"/>
        <w:spacing w:lineRule="auto" w:line="360" w:before="240" w:after="200"/>
        <w:ind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 w:before="240" w:after="200"/>
        <w:ind w:end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 w:before="240" w:after="200"/>
        <w:ind w:hanging="720" w:start="720" w:end="0"/>
        <w:jc w:val="both"/>
        <w:rPr/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היותם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לכרמל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00"/>
        <w:ind w:hanging="720" w:start="720" w:end="0"/>
        <w:jc w:val="both"/>
        <w:rPr/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כרמל גל עוז ויקיר קידר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240" w:after="20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00"/>
        <w:ind w:hanging="1080" w:start="1440"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    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</w:t>
      </w:r>
      <w:r>
        <w:rPr>
          <w:rFonts w:ascii="Calibri" w:hAnsi="Calibri" w:cs="Calibri"/>
          <w:rtl w:val="true"/>
        </w:rPr>
        <w:t xml:space="preserve">עה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</w:rPr>
        <w:t>.2018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המזכירות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ידאג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00"/>
        <w:ind w:hanging="720" w:start="1440" w:end="0"/>
        <w:contextualSpacing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2,500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חודשיים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1.4.2018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זכות ערעור תוך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20784-11-13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כרמל גל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עוז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bidi w:val="0"/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7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i.a.7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382.a" TargetMode="External"/><Relationship Id="rId10" Type="http://schemas.openxmlformats.org/officeDocument/2006/relationships/hyperlink" Target="http://www.nevo.co.il/law/70301/380;382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6096407" TargetMode="External"/><Relationship Id="rId13" Type="http://schemas.openxmlformats.org/officeDocument/2006/relationships/hyperlink" Target="http://www.nevo.co.il/case/1590559" TargetMode="External"/><Relationship Id="rId14" Type="http://schemas.openxmlformats.org/officeDocument/2006/relationships/hyperlink" Target="http://www.nevo.co.il/case/17000647" TargetMode="External"/><Relationship Id="rId15" Type="http://schemas.openxmlformats.org/officeDocument/2006/relationships/hyperlink" Target="http://www.nevo.co.il/case/17926599" TargetMode="External"/><Relationship Id="rId16" Type="http://schemas.openxmlformats.org/officeDocument/2006/relationships/hyperlink" Target="http://www.nevo.co.il/case/6103888" TargetMode="External"/><Relationship Id="rId17" Type="http://schemas.openxmlformats.org/officeDocument/2006/relationships/hyperlink" Target="http://www.nevo.co.il/case/10496437" TargetMode="External"/><Relationship Id="rId18" Type="http://schemas.openxmlformats.org/officeDocument/2006/relationships/hyperlink" Target="http://www.nevo.co.il/case/5612978" TargetMode="External"/><Relationship Id="rId19" Type="http://schemas.openxmlformats.org/officeDocument/2006/relationships/hyperlink" Target="http://www.nevo.co.il/case/20570639" TargetMode="External"/><Relationship Id="rId20" Type="http://schemas.openxmlformats.org/officeDocument/2006/relationships/hyperlink" Target="http://www.nevo.co.il/law/70301/380;382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1473128" TargetMode="External"/><Relationship Id="rId23" Type="http://schemas.openxmlformats.org/officeDocument/2006/relationships/hyperlink" Target="http://www.nevo.co.il/law/70301/38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389906" TargetMode="External"/><Relationship Id="rId26" Type="http://schemas.openxmlformats.org/officeDocument/2006/relationships/hyperlink" Target="http://www.nevo.co.il/case/6104292" TargetMode="External"/><Relationship Id="rId27" Type="http://schemas.openxmlformats.org/officeDocument/2006/relationships/hyperlink" Target="http://www.nevo.co.il/case/4349501" TargetMode="External"/><Relationship Id="rId28" Type="http://schemas.openxmlformats.org/officeDocument/2006/relationships/hyperlink" Target="http://www.nevo.co.il/law/70301/40i.a.7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2018-10-09T14:37:00Z</dcterms:created>
  <dc:creator> </dc:creator>
  <dc:description/>
  <cp:keywords/>
  <dc:language>en-IL</dc:language>
  <cp:lastModifiedBy>run</cp:lastModifiedBy>
  <dcterms:modified xsi:type="dcterms:W3CDTF">2018-10-09T14:37:00Z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כרמל גל-עוז;יקיר קידר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6096407;1590559;17000647;17926599;6103888;10496437;5612978;20570639;21473128;389906;6104292;4349501</vt:lpwstr>
  </property>
  <property fmtid="{D5CDD505-2E9C-101B-9397-08002B2CF9AE}" pid="9" name="CITY">
    <vt:lpwstr>רמ'</vt:lpwstr>
  </property>
  <property fmtid="{D5CDD505-2E9C-101B-9397-08002B2CF9AE}" pid="10" name="DATE">
    <vt:lpwstr>20171228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70301/040i.a.7;380:3;382.a:2</vt:lpwstr>
  </property>
  <property fmtid="{D5CDD505-2E9C-101B-9397-08002B2CF9AE}" pid="15" name="LAWYER">
    <vt:lpwstr>מוניר ברהום;אורית חיון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20784</vt:lpwstr>
  </property>
  <property fmtid="{D5CDD505-2E9C-101B-9397-08002B2CF9AE}" pid="22" name="NEWPARTB">
    <vt:lpwstr>11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380020171228</vt:lpwstr>
  </property>
  <property fmtid="{D5CDD505-2E9C-101B-9397-08002B2CF9AE}" pid="34" name="TYPE_N_DATE">
    <vt:lpwstr>38020171228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