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8"/>
                <w:sz w:val="28"/>
                <w:szCs w:val="28"/>
                <w:rtl w:val="true"/>
              </w:rPr>
              <w:t>ת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20860-05-17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קסטרו</w:t>
            </w:r>
          </w:p>
          <w:p>
            <w:pPr>
              <w:pStyle w:val="Header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הישאם  אבו 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יולי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הנאשמת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אושרת דגנית קסטרו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שמיר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מס ערך מוסף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117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כתב האישום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 xml:space="preserve">הנאשמת הודתה בכתב האישום המתוקן והורשעה בביצוען של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1975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מס ערך מוסף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הנאשמת שימשה כמנהלת של עסק שנרשם כעוסק מורשה ולא הגישה במועד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תקופתיים כדלקמן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אוגוסט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פברואר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ואפריל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הסך הכולל של המס שלא שולם לרשויות מס ערך מוסף הוא </w:t>
      </w:r>
      <w:r>
        <w:rPr>
          <w:rFonts w:cs="Arial" w:ascii="Arial" w:hAnsi="Arial"/>
        </w:rPr>
        <w:t>87,060</w:t>
      </w:r>
      <w:r>
        <w:rPr>
          <w:rFonts w:cs="Arial" w:ascii="Arial" w:hAnsi="Arial"/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 היה הסדר בין הצדדים לעניין העונש והמחדל לא הוסר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 טענה שהעונש הראוי הוא מאסר שיכול וירוצה בעבודות שירות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ההגנה טענה שיש להסתפק במאסר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 מבחן והתחייבות כספית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התקבל תסקיר מטעם שירות המבחן ואשר להלן עיקריו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הנאשמת נעדרת עבר פלילי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בגיל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הייתה בקשר זוגי עם אדם גרוש ואב לילדים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מכור לסמים קשים ואשר התנהג כלפיה באלימות פיזית ומילולית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התחתנו ומנישואים אלה נולדו להם חמישה ילדים שהם כיום בטווח  גילאים שבין שנתיים ועד תשע שנים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בני הזוג הקימו את העסק מושא כתב האישום יחדיו והעסק נרשם על שמה של הנאשמת בשל כך שלבעלה היו חובות רבים בלשכת ההוצאה לפועל ונמצא בהליכי פשיטת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העסק שהוקם לא שרד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צבר חובות של מספר מאות אלפי שקלים וקרס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הנאשמת היא כיום בת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וחמשת ילדיה מצויים במשמורתה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מתקיימים כיום הליכי גירושין בינה ובין בעלה והיא וילדיה מתקיימים מקצבת הבטחת הכנסה מטעם המוסד לביטוח לאומי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הנאשמת משתתפת בקורס הכשרה מטעם לשכת התעסוקה שמטרתו לשלבה בהמשך במסגרת תעסוקתית ראויה שתשמש כמקור פרנסה עבורה ועבור ילדיה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שרות המבחן התרשם שמדובר באישה נורמטיבית שנעדרת דפוסי התנהגות עבריינים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גם מטופלת על ידי שירותי הרווחה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שרות המבחן המליץ להטיל עליה צו 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על תנאי והתחייבות כספית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גבולות מתחם העונש ההולם מושפעים משלושה שיקולים מרכזיים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מידת הנזק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מתבטאת במחדל בסך של </w:t>
      </w:r>
      <w:r>
        <w:rPr>
          <w:rFonts w:cs="Arial" w:ascii="Arial" w:hAnsi="Arial"/>
        </w:rPr>
        <w:t>87,060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ואשר נגזלו מהקופה הציבורית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u w:val="single"/>
          <w:rtl w:val="true"/>
        </w:rPr>
        <w:t>מידת האשם</w:t>
      </w:r>
      <w:r>
        <w:rPr>
          <w:rFonts w:cs="Arial" w:ascii="Arial" w:hAnsi="Arial"/>
          <w:u w:val="single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>, "</w:t>
      </w:r>
      <w:r>
        <w:rPr>
          <w:rFonts w:ascii="Arial" w:hAnsi="Arial" w:cs="Arial"/>
          <w:rtl w:val="true"/>
        </w:rPr>
        <w:t>מידת האשם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של הנאשמת בביצוע העבירות מושא כתב האישום היא נמוכה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מתסקיר שירות המבחן עולה שהנאשמת לא הייתה הרוח  החיה והדומיננטית בהליך ההקמה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הפיקוח והניהול של העסק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הייתה נתונה למרותו של בעלה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הנאשמת לא הייתה האחראית הבלעדית על תפקודו של העסק אלא מדובר בדמות נגררת ועושה את דברו של בעלה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העסק שהוא ניהל נרשם על שמה בשל חובות קודמים שהיו לבעלה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מידת האשם הנמוכה של הנאשמת בביצוע העבירות מושא כתב האישום היא שיקול משמעותי שמשפיע לקולא על גבולות מתחם העונש ההולם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u w:val="single"/>
          <w:rtl w:val="true"/>
        </w:rPr>
        <w:t>מדיניות הענישה הנוהגת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להלן דוגמאות מהפסיקה לרמת הענישה בעבירות מסוג עוון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במועד כאשר סכום המחדל הוא של מספר עשרות אלפי שקלים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hanging="567" w:start="198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984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24241-12-14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אוזן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10.2.15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המערער הורשע בגין אי הגשת </w:t>
      </w: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חות לרשויות 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ואשר השתרעו על תקופה של כשלוש שנים ונדון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 ומאסר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סכום המע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היה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המערער הוכרז כפושט רגל והיה אב לבן יחיד שעול פרנסתו עליו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</w:t>
      </w:r>
      <w:r>
        <w:rPr>
          <w:rFonts w:ascii="Arial" w:hAnsi="Arial" w:cs="Arial"/>
          <w:u w:val="single"/>
          <w:rtl w:val="true"/>
        </w:rPr>
        <w:t>לא הסיר את המחדלים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הסיבה נבעה מכך שהוכרז כפושט רגל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המחוזי קיצר את תקופת מאסרו </w:t>
      </w:r>
      <w:r>
        <w:rPr>
          <w:rFonts w:ascii="Arial" w:hAnsi="Arial" w:cs="Arial"/>
          <w:u w:val="single"/>
          <w:rtl w:val="true"/>
        </w:rPr>
        <w:t>לשלושה חודשי מאסר שירוצו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567" w:start="198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984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53360-10-13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בן 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עניינו של המערער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 הורשע בביצוען של </w:t>
      </w:r>
      <w:r>
        <w:rPr>
          <w:rFonts w:cs="Arial" w:ascii="Arial" w:hAnsi="Arial"/>
        </w:rPr>
        <w:t>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סך המחדל עמד על </w:t>
      </w:r>
      <w:r>
        <w:rPr>
          <w:rFonts w:ascii="Arial" w:hAnsi="Arial" w:cs="Arial"/>
          <w:u w:val="single"/>
          <w:rtl w:val="true"/>
        </w:rPr>
        <w:t xml:space="preserve">סך של </w:t>
      </w:r>
      <w:r>
        <w:rPr>
          <w:rFonts w:cs="Arial" w:ascii="Arial" w:hAnsi="Arial"/>
          <w:u w:val="single"/>
        </w:rPr>
        <w:t>24,150</w:t>
      </w:r>
      <w:r>
        <w:rPr>
          <w:rFonts w:cs="Arial" w:ascii="Arial" w:hAnsi="Arial"/>
          <w:u w:val="single"/>
          <w:rtl w:val="true"/>
        </w:rPr>
        <w:t xml:space="preserve"> ₪, </w:t>
      </w:r>
      <w:r>
        <w:rPr>
          <w:rFonts w:ascii="Arial" w:hAnsi="Arial" w:cs="Arial"/>
          <w:u w:val="single"/>
          <w:rtl w:val="true"/>
        </w:rPr>
        <w:t xml:space="preserve">בעוד שהחוב מקנסות עמד על </w:t>
      </w:r>
      <w:r>
        <w:rPr>
          <w:rFonts w:cs="Arial" w:ascii="Arial" w:hAnsi="Arial"/>
          <w:u w:val="single"/>
        </w:rPr>
        <w:t>65,211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והחוב מריבית היה </w:t>
      </w:r>
      <w:r>
        <w:rPr>
          <w:rFonts w:cs="Arial" w:ascii="Arial" w:hAnsi="Arial"/>
          <w:u w:val="single"/>
        </w:rPr>
        <w:t>7,697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באותו עניין קבעתי כי מתחם העונש ההולם 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8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וקנס כספי שנע </w:t>
      </w:r>
      <w:r>
        <w:rPr>
          <w:rFonts w:ascii="Arial" w:hAnsi="Arial" w:cs="Arial"/>
          <w:u w:val="single"/>
          <w:rtl w:val="true"/>
        </w:rPr>
        <w:t xml:space="preserve">בין </w:t>
      </w:r>
      <w:r>
        <w:rPr>
          <w:rFonts w:cs="Arial" w:ascii="Arial" w:hAnsi="Arial"/>
          <w:u w:val="single"/>
        </w:rPr>
        <w:t>20,000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50,000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בסופו של יום הושתו על המערער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 בדרך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ערעורו של המערער לבית המשפט המחוזי במחוז מרכז לגבי עונש המאסר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שהקנס הופחת </w:t>
      </w:r>
      <w:r>
        <w:rPr>
          <w:rFonts w:ascii="Arial" w:hAnsi="Arial" w:cs="Arial"/>
          <w:u w:val="single"/>
          <w:rtl w:val="true"/>
        </w:rPr>
        <w:t xml:space="preserve">לסך של </w:t>
      </w:r>
      <w:r>
        <w:rPr>
          <w:rFonts w:cs="Arial" w:ascii="Arial" w:hAnsi="Arial"/>
          <w:u w:val="single"/>
        </w:rPr>
        <w:t>10,000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567" w:start="1984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567" w:start="1984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Arial" w:ascii="Arial" w:hAnsi="Arial"/>
            <w:color w:val="0000FF"/>
            <w:u w:val="single"/>
          </w:rPr>
          <w:t>51920-12-14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מוסקוביץ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 רמלה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15.3.15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עניינם של המערערים נדון בפני בבית משפט השלום ברמלה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המערערים הורשעו בביצוע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אי הגשת דו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במועד 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סכום המחדל המקורי עמד על סך של </w:t>
      </w:r>
      <w:r>
        <w:rPr>
          <w:rFonts w:cs="Arial" w:ascii="Arial" w:hAnsi="Arial"/>
          <w:u w:val="single"/>
        </w:rPr>
        <w:t>113,000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>והמחדל הוסר באופן חלקי</w:t>
      </w:r>
      <w:r>
        <w:rPr>
          <w:rFonts w:ascii="Arial" w:hAnsi="Arial" w:cs="Arial"/>
          <w:rtl w:val="true"/>
        </w:rPr>
        <w:t xml:space="preserve"> כך שנותרה קרן מס בסך של </w:t>
      </w:r>
      <w:r>
        <w:rPr>
          <w:rFonts w:cs="Arial" w:ascii="Arial" w:hAnsi="Arial"/>
          <w:u w:val="single"/>
        </w:rPr>
        <w:t>54,142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הנאשמים לא הצליחו להסיר את יתרת המחדל עקב קשיים כלכלים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בעניין זה קבעתי כי מתחם העונש ההולם נע בין </w:t>
      </w:r>
      <w:r>
        <w:rPr>
          <w:rFonts w:cs="Arial" w:ascii="Arial" w:hAnsi="Arial"/>
          <w:u w:val="single"/>
        </w:rPr>
        <w:t>5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בפועל והקנס נע בין </w:t>
      </w:r>
      <w:r>
        <w:rPr>
          <w:rFonts w:cs="Arial" w:ascii="Arial" w:hAnsi="Arial"/>
          <w:u w:val="single"/>
        </w:rPr>
        <w:t>7,000</w:t>
      </w:r>
      <w:r>
        <w:rPr>
          <w:rFonts w:cs="Arial" w:ascii="Arial" w:hAnsi="Arial"/>
          <w:u w:val="single"/>
          <w:rtl w:val="true"/>
        </w:rPr>
        <w:t xml:space="preserve"> ₪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30,000</w:t>
      </w:r>
      <w:r>
        <w:rPr>
          <w:rFonts w:cs="Arial" w:ascii="Arial" w:hAnsi="Arial"/>
          <w:u w:val="single"/>
          <w:rtl w:val="true"/>
        </w:rPr>
        <w:t xml:space="preserve"> 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העובדה שהמאשימה טענה שמתחם העונש ההולם מתחיל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הושתו על הנאשמים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שירוצו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מאסר על תנאי וקנס בסך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במסגרת הליך הערעור נטען שהמחדל הוסר באופן מלא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הערעור התקבל בכך שעונש המאסר בפועל הופחת </w:t>
      </w:r>
      <w:r>
        <w:rPr>
          <w:rFonts w:ascii="Arial" w:hAnsi="Arial" w:cs="Arial"/>
          <w:u w:val="single"/>
          <w:rtl w:val="true"/>
        </w:rPr>
        <w:t>לחודשיים שירוצו בדרך של עבודות שירות ורכיב הקנס נותר בעינו</w:t>
      </w:r>
      <w:r>
        <w:rPr>
          <w:rFonts w:cs="Arial" w:ascii="Arial" w:hAnsi="Arial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567" w:start="1984" w:end="0"/>
        <w:jc w:val="both"/>
        <w:rPr>
          <w:rFonts w:ascii="Arial" w:hAnsi="Arial" w:cs="Arial"/>
          <w:u w:val="single"/>
        </w:rPr>
      </w:pPr>
      <w:r>
        <w:rPr>
          <w:rFonts w:cs="Arial" w:ascii="Arial" w:hAnsi="Arial"/>
          <w:u w:val="single"/>
          <w:rtl w:val="true"/>
        </w:rPr>
      </w:r>
    </w:p>
    <w:p>
      <w:pPr>
        <w:pStyle w:val="Normal"/>
        <w:spacing w:lineRule="auto" w:line="360"/>
        <w:ind w:hanging="567" w:start="1984" w:end="0"/>
        <w:jc w:val="both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מרכז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37359-08-13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דניארוב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28.1.14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המשיבה הורשעה בבית משפט השלום ברמלה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בגין ביצוע חמש עבירות של אי הגשת דוח במועד לפי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)(</w:t>
        </w:r>
        <w:r>
          <w:rPr>
            <w:rStyle w:val="Hyperlink"/>
            <w:rFonts w:cs="Arial" w:ascii="Arial" w:hAnsi="Arial"/>
            <w:color w:val="0000FF"/>
            <w:u w:val="single"/>
          </w:rPr>
          <w:t>6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).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במקרה זה היתה מחלוקת בין הצדדים לגבי גובה המחדל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מצד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המאשימה טענה שהחוב עמד על סך </w:t>
      </w:r>
      <w:r>
        <w:rPr>
          <w:rFonts w:cs="Arial" w:ascii="Arial" w:hAnsi="Arial"/>
        </w:rPr>
        <w:t>65,129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ובעוד שהנאשמת טענה שהוא עמד על סך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גובה המחדל לא צוין בגוף כתב האישום ולכן בנסיבות אלה קבעתי </w:t>
      </w:r>
      <w:r>
        <w:rPr>
          <w:rFonts w:ascii="Arial" w:hAnsi="Arial" w:cs="Arial"/>
          <w:u w:val="single"/>
          <w:rtl w:val="true"/>
        </w:rPr>
        <w:t>שלא הוכח ע</w:t>
      </w:r>
      <w:r>
        <w:rPr>
          <w:rFonts w:cs="Arial" w:ascii="Arial" w:hAnsi="Arial"/>
          <w:u w:val="single"/>
          <w:rtl w:val="true"/>
        </w:rPr>
        <w:t>"</w:t>
      </w:r>
      <w:r>
        <w:rPr>
          <w:rFonts w:ascii="Arial" w:hAnsi="Arial" w:cs="Arial"/>
          <w:u w:val="single"/>
          <w:rtl w:val="true"/>
        </w:rPr>
        <w:t>י המאשימה מה גובה החוב</w:t>
      </w:r>
      <w:r>
        <w:rPr>
          <w:rFonts w:cs="Arial" w:ascii="Arial" w:hAnsi="Arial"/>
          <w:u w:val="single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המחדלים לא הוסרו</w:t>
      </w:r>
      <w:r>
        <w:rPr>
          <w:rFonts w:ascii="Arial" w:hAnsi="Arial" w:cs="Arial"/>
          <w:rtl w:val="true"/>
        </w:rPr>
        <w:t xml:space="preserve"> וסוגיית גובה החוב לא באה על פתרונה נכון למועד מתן גזר הדין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המשיבה הטלתי </w:t>
      </w:r>
      <w:r>
        <w:rPr>
          <w:rFonts w:ascii="Arial" w:hAnsi="Arial" w:cs="Arial"/>
          <w:u w:val="single"/>
          <w:rtl w:val="true"/>
        </w:rPr>
        <w:t xml:space="preserve">מאסר על תנאי וקנס בסך של </w:t>
      </w:r>
      <w:r>
        <w:rPr>
          <w:rFonts w:cs="Arial" w:ascii="Arial" w:hAnsi="Arial"/>
          <w:u w:val="single"/>
        </w:rPr>
        <w:t>8000</w:t>
      </w:r>
      <w:r>
        <w:rPr>
          <w:rFonts w:cs="Arial" w:ascii="Arial" w:hAnsi="Arial"/>
          <w:u w:val="single"/>
          <w:rtl w:val="true"/>
        </w:rPr>
        <w:t xml:space="preserve"> ₪.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המדינה הגישה ערעור לבית המשפט המחוזי במחוז מרכז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>והערעור נדחה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הנני קובע כי מתחם העונש ההולם למכלול העבירות שבוצעו על ידי הנאשמת נע בין מאסר על תנאי ועד שמונה חודשי מאסר בפועל ומתחם הקנס ההולם נע בין </w:t>
      </w:r>
      <w:r>
        <w:rPr>
          <w:rFonts w:cs="Arial" w:ascii="Arial" w:hAnsi="Arial"/>
        </w:rPr>
        <w:t>5,000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העונש המתאים בתוך מתחם העונש ההולם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לחומרא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העובדה שהמחדל לא הוסר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היותה של הנאשמת אם לחמישה ילדים קטינים שמצויים במשמורתה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הליכי הגירושין מבעלה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היותה אם חד הורית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העובדה שהיא מצויה במסלול הכשרה תעסוקתי שעלול להיגדע אם תבצע עבודות שירות או שירות לתועלת הציבור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נסיבות חייה כפי שתוארו בתסקיר שרות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קשייה הכלכליים של הנאשמת ושמטופלת על ידי שירותי הרווחה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שיש להציב את הנאשמת בגבול התחתון של מתחם העונש ההולם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מצאתי צורך בהטלת צו מבחן וזאת במיוחד לאור העובדה שהנאשמת נעדרת עבר פלילי ואין לה דפוסי התנהגות עבריינים והסיכון להישנות ביצוען של עבירות דומות בעתיד הוא נמוך ביותר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הנאשמת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שבמשך שלוש שנים מהיום לא תבצע עבירה לפי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מס ערך מוסף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הנאשמת תשלם קנס בסך של </w:t>
      </w:r>
      <w:r>
        <w:rPr>
          <w:rFonts w:cs="Arial" w:ascii="Arial" w:hAnsi="Arial"/>
        </w:rPr>
        <w:t>8,000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 מאסר תמורתו ואשר ישולם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תשלומים חודשיים שווים ורצופים כאשר הראשון שבהם עד ליום </w:t>
      </w:r>
      <w:r>
        <w:rPr>
          <w:rFonts w:cs="Arial" w:ascii="Arial" w:hAnsi="Arial"/>
        </w:rPr>
        <w:t>15.1.19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והיתרה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לכל חודש שלאחריו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היה ואחד התשלומים לא ישולם במועד אזי יעמוד מלוא סכום הקנס לתשלום מידי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כסלו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20860-05-17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אושרת דגנית קסטרו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CharChar1">
    <w:name w:val=" Char Char1"/>
    <w:qFormat/>
    <w:rPr>
      <w:rFonts w:ascii="Times New Roman" w:hAnsi="Times New Roman" w:eastAsia="Times New Roman" w:cs="David"/>
      <w:sz w:val="24"/>
      <w:szCs w:val="24"/>
    </w:rPr>
  </w:style>
  <w:style w:type="character" w:styleId="CharChar">
    <w:name w:val=" Cha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813" TargetMode="External"/><Relationship Id="rId3" Type="http://schemas.openxmlformats.org/officeDocument/2006/relationships/hyperlink" Target="http://www.nevo.co.il/law/72813/117.a.6" TargetMode="External"/><Relationship Id="rId4" Type="http://schemas.openxmlformats.org/officeDocument/2006/relationships/hyperlink" Target="http://www.nevo.co.il/law/72813/117.a.6" TargetMode="External"/><Relationship Id="rId5" Type="http://schemas.openxmlformats.org/officeDocument/2006/relationships/hyperlink" Target="http://www.nevo.co.il/law/72813" TargetMode="External"/><Relationship Id="rId6" Type="http://schemas.openxmlformats.org/officeDocument/2006/relationships/hyperlink" Target="http://www.nevo.co.il/case/18726121" TargetMode="External"/><Relationship Id="rId7" Type="http://schemas.openxmlformats.org/officeDocument/2006/relationships/hyperlink" Target="http://www.nevo.co.il/case/8465863" TargetMode="External"/><Relationship Id="rId8" Type="http://schemas.openxmlformats.org/officeDocument/2006/relationships/hyperlink" Target="http://www.nevo.co.il/law/72813/117.a.6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case/18758030" TargetMode="External"/><Relationship Id="rId11" Type="http://schemas.openxmlformats.org/officeDocument/2006/relationships/hyperlink" Target="http://www.nevo.co.il/law/72813/117.a.6" TargetMode="External"/><Relationship Id="rId12" Type="http://schemas.openxmlformats.org/officeDocument/2006/relationships/hyperlink" Target="http://www.nevo.co.il/law/72813" TargetMode="External"/><Relationship Id="rId13" Type="http://schemas.openxmlformats.org/officeDocument/2006/relationships/hyperlink" Target="http://www.nevo.co.il/case/7969503" TargetMode="External"/><Relationship Id="rId14" Type="http://schemas.openxmlformats.org/officeDocument/2006/relationships/hyperlink" Target="http://www.nevo.co.il/law/72813/117.a.6" TargetMode="External"/><Relationship Id="rId15" Type="http://schemas.openxmlformats.org/officeDocument/2006/relationships/hyperlink" Target="http://www.nevo.co.il/law/72813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2019-04-28T13:55:00Z</dcterms:created>
  <dc:creator> </dc:creator>
  <dc:description/>
  <cp:keywords/>
  <dc:language>en-IL</dc:language>
  <cp:lastModifiedBy>run</cp:lastModifiedBy>
  <dcterms:modified xsi:type="dcterms:W3CDTF">2019-04-28T13:55:00Z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אושרת דגנית קסטרו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18726121;8465863;18758030;7969503</vt:lpwstr>
  </property>
  <property fmtid="{D5CDD505-2E9C-101B-9397-08002B2CF9AE}" pid="9" name="CITY">
    <vt:lpwstr>רמ'</vt:lpwstr>
  </property>
  <property fmtid="{D5CDD505-2E9C-101B-9397-08002B2CF9AE}" pid="10" name="DATE">
    <vt:lpwstr>20181202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72813/117.a.6:4</vt:lpwstr>
  </property>
  <property fmtid="{D5CDD505-2E9C-101B-9397-08002B2CF9AE}" pid="15" name="LAWYER">
    <vt:lpwstr>משה שמיר;מרב יולי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20860</vt:lpwstr>
  </property>
  <property fmtid="{D5CDD505-2E9C-101B-9397-08002B2CF9AE}" pid="22" name="NEWPARTB">
    <vt:lpwstr>05</vt:lpwstr>
  </property>
  <property fmtid="{D5CDD505-2E9C-101B-9397-08002B2CF9AE}" pid="23" name="NEWPARTC">
    <vt:lpwstr>17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380020181202</vt:lpwstr>
  </property>
  <property fmtid="{D5CDD505-2E9C-101B-9397-08002B2CF9AE}" pid="34" name="TYPE_N_DATE">
    <vt:lpwstr>38020181202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