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21009-03-15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סואעד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                                                                                  </w:t>
            </w:r>
            <w:r>
              <w:rPr>
                <w:b/>
                <w:bCs/>
                <w:sz w:val="26"/>
                <w:szCs w:val="26"/>
              </w:rPr>
              <w:t>15.12.15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rtl w:val="true"/>
              </w:rPr>
              <w:br/>
              <w:br/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עאוני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סואעד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rFonts w:cs="Times New Roman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שגב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אדלר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>)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  <w:r>
        <w:rPr>
          <w:b w:val="false"/>
          <w:b w:val="false"/>
          <w:bCs w:val="false"/>
          <w:u w:val="none"/>
          <w:rtl w:val="true"/>
        </w:rPr>
        <w:t>תומר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נוה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192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רישום קבלנים לעבודות הנדסה בנאיות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1969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פתח דבר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sz w:val="22"/>
          <w:szCs w:val="22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חזר </w:t>
      </w:r>
      <w:r>
        <w:rPr>
          <w:rFonts w:ascii="Arial" w:hAnsi="Arial" w:cs="Arial"/>
          <w:rtl w:val="true"/>
        </w:rPr>
        <w:t xml:space="preserve">בו </w:t>
      </w:r>
      <w:r>
        <w:rPr>
          <w:rFonts w:ascii="Arial" w:hAnsi="Arial" w:cs="Arial"/>
          <w:rtl w:val="true"/>
        </w:rPr>
        <w:t>מכפירתו והודה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הסדר טיעון שבו הושאר עניין העונש לטיעון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והורשע על פי הודאתו </w:t>
      </w:r>
      <w:r>
        <w:rPr>
          <w:rFonts w:ascii="Arial" w:hAnsi="Arial" w:cs="Arial"/>
          <w:b/>
          <w:b/>
          <w:bCs/>
          <w:rtl w:val="true"/>
        </w:rPr>
        <w:t xml:space="preserve">בעבירות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החזקה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נשיאה והובלת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אבזר ותחמושת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 – </w:t>
      </w:r>
      <w:hyperlink r:id="rId9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ועבירה של </w:t>
      </w:r>
      <w:r>
        <w:rPr>
          <w:rFonts w:ascii="Arial" w:hAnsi="Arial" w:cs="Arial"/>
          <w:b/>
          <w:b/>
          <w:bCs/>
          <w:rtl w:val="true"/>
        </w:rPr>
        <w:t>איומים</w:t>
      </w:r>
      <w:r>
        <w:rPr>
          <w:rFonts w:ascii="Arial" w:hAnsi="Arial" w:cs="Arial"/>
          <w:rtl w:val="true"/>
        </w:rPr>
        <w:t xml:space="preserve">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</w:t>
      </w:r>
      <w:r>
        <w:rPr>
          <w:b/>
          <w:b/>
          <w:bCs/>
          <w:u w:val="single"/>
          <w:rtl w:val="true"/>
        </w:rPr>
        <w:t>ום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26.02.15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07:10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בשפרעם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2299412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</w:rPr>
        <w:t>-  16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הרובה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להחזקתם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סואעד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הוזעקו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במנוסתו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קורים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א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והתשתיות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חמרייה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סואעד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בישובו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שאחות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נפטרו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.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דיכאונית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והתארגנותית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האובדנים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,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הדיכאוני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מוחבא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,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וחומרתו</w:t>
      </w:r>
      <w:r>
        <w:rPr>
          <w:rtl w:val="true"/>
        </w:rPr>
        <w:t xml:space="preserve">.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לתיאוריו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,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, </w:t>
      </w:r>
      <w:r>
        <w:rPr>
          <w:rtl w:val="true"/>
        </w:rPr>
        <w:t>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acting-out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התרחקות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הפסדים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מעסיקים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)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הוורבליות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מפוקחי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במצוקותיו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וזהותו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בדימ</w:t>
      </w:r>
      <w:r>
        <w:rPr>
          <w:rFonts w:ascii="Calibri" w:hAnsi="Calibri" w:cs="Calibri"/>
          <w:rtl w:val="true"/>
        </w:rPr>
        <w:t>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להיתמך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המומלצים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באלמנטים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חינוכיים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ויפחיתו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tl w:val="true"/>
        </w:rPr>
        <w:t xml:space="preserve">,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הקבלנים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סואעד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אחסאן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לימדו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אסונות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3072/07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אלחפיז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02.08.07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המונופול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 -16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tl w:val="true"/>
        </w:rPr>
        <w:t xml:space="preserve">.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, </w:t>
      </w:r>
      <w:r>
        <w:rPr>
          <w:rtl w:val="true"/>
        </w:rPr>
        <w:t>להתפתח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לטע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המוחבא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הסף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ובשנה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26.02.15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04.05.15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06.05.15</w:t>
      </w:r>
      <w:r>
        <w:rPr>
          <w:rtl w:val="true"/>
        </w:rPr>
        <w:t xml:space="preserve">),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כישלונותיו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tl w:val="true"/>
        </w:rPr>
        <w:t xml:space="preserve">, </w:t>
      </w:r>
      <w:r>
        <w:rPr>
          <w:rtl w:val="true"/>
        </w:rPr>
        <w:t>ומנותקים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50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משפחתו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),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10.12.06</w:t>
      </w:r>
      <w:r>
        <w:rPr>
          <w:rtl w:val="true"/>
        </w:rPr>
        <w:t xml:space="preserve">), </w:t>
      </w:r>
      <w:r>
        <w:rPr>
          <w:rtl w:val="true"/>
        </w:rPr>
        <w:t>ו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6.5.09</w:t>
      </w:r>
      <w:r>
        <w:rPr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Arial TUR" w:hAnsi="Arial TUR" w:cs="Arial TUR"/>
          <w:color w:val="000000"/>
          <w:lang w:eastAsia="he-IL"/>
        </w:rPr>
      </w:pPr>
      <w:r>
        <w:rPr>
          <w:rFonts w:cs="Arial TUR" w:ascii="Arial TUR" w:hAnsi="Arial TUR"/>
          <w:color w:val="000000"/>
          <w:lang w:eastAsia="he-IL"/>
        </w:rPr>
        <w:t>55</w:t>
      </w:r>
      <w:r>
        <w:rPr>
          <w:rFonts w:cs="Arial TUR" w:ascii="Arial TUR" w:hAnsi="Arial TUR"/>
          <w:color w:val="000000"/>
          <w:rtl w:val="true"/>
          <w:lang w:eastAsia="he-IL"/>
        </w:rPr>
        <w:t>.</w:t>
        <w:tab/>
      </w:r>
      <w:r>
        <w:rPr>
          <w:rFonts w:ascii="Arial TUR" w:hAnsi="Arial TUR" w:cs="Arial TUR"/>
          <w:color w:val="000000"/>
          <w:rtl w:val="true"/>
          <w:lang w:eastAsia="he-IL"/>
        </w:rPr>
        <w:t>יחד עם זאת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, </w:t>
      </w:r>
      <w:r>
        <w:rPr>
          <w:rFonts w:ascii="Arial TUR" w:hAnsi="Arial TUR" w:cs="Arial TUR"/>
          <w:color w:val="000000"/>
          <w:rtl w:val="true"/>
          <w:lang w:eastAsia="he-IL"/>
        </w:rPr>
        <w:t>וכידוע הענישה במקומותינו הינה ענישה אינדיווידואלית ומותאמת לנסיבות ולנאשם הספציפי העומד לתת את הדין בפני ביהמ</w:t>
      </w:r>
      <w:r>
        <w:rPr>
          <w:rFonts w:cs="Arial TUR" w:ascii="Arial TUR" w:hAnsi="Arial TUR"/>
          <w:color w:val="000000"/>
          <w:rtl w:val="true"/>
          <w:lang w:eastAsia="he-IL"/>
        </w:rPr>
        <w:t>"</w:t>
      </w:r>
      <w:r>
        <w:rPr>
          <w:rFonts w:ascii="Arial TUR" w:hAnsi="Arial TUR" w:cs="Arial TUR"/>
          <w:color w:val="000000"/>
          <w:rtl w:val="true"/>
          <w:lang w:eastAsia="he-IL"/>
        </w:rPr>
        <w:t xml:space="preserve">ש – </w:t>
      </w:r>
      <w:r>
        <w:rPr>
          <w:rFonts w:cs="Arial TUR" w:ascii="Arial TUR" w:hAnsi="Arial TUR"/>
          <w:color w:val="000000"/>
          <w:rtl w:val="true"/>
          <w:lang w:eastAsia="he-IL"/>
        </w:rPr>
        <w:t>(</w:t>
      </w:r>
      <w:r>
        <w:rPr>
          <w:rFonts w:ascii="Arial TUR" w:hAnsi="Arial TUR" w:cs="Arial TUR"/>
          <w:color w:val="000000"/>
          <w:rtl w:val="true"/>
          <w:lang w:eastAsia="he-IL"/>
        </w:rPr>
        <w:t xml:space="preserve">ראו </w:t>
      </w:r>
      <w:hyperlink r:id="rId18"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Arial TUR" w:ascii="Arial TUR" w:hAnsi="Arial TUR"/>
            <w:color w:val="0000FF"/>
            <w:u w:val="single"/>
            <w:lang w:eastAsia="he-IL"/>
          </w:rPr>
          <w:t>433/89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אטיאס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נ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מדינת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ישראל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  <w:lang w:eastAsia="he-IL"/>
          </w:rPr>
          <w:t xml:space="preserve">, 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ד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מ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ג</w:t>
        </w:r>
      </w:hyperlink>
      <w:r>
        <w:rPr>
          <w:rFonts w:ascii="Arial TUR" w:hAnsi="Arial TUR" w:cs="Arial TUR"/>
          <w:color w:val="000000"/>
          <w:rtl w:val="true"/>
          <w:lang w:eastAsia="he-IL"/>
        </w:rPr>
        <w:t xml:space="preserve"> </w:t>
      </w:r>
      <w:r>
        <w:rPr>
          <w:rFonts w:cs="Arial TUR" w:ascii="Arial TUR" w:hAnsi="Arial TUR"/>
          <w:color w:val="000000"/>
          <w:rtl w:val="true"/>
          <w:lang w:eastAsia="he-IL"/>
        </w:rPr>
        <w:t>(</w:t>
      </w:r>
      <w:r>
        <w:rPr>
          <w:rFonts w:cs="Arial TUR" w:ascii="Arial TUR" w:hAnsi="Arial TUR"/>
          <w:color w:val="000000"/>
          <w:lang w:eastAsia="he-IL"/>
        </w:rPr>
        <w:t>4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) </w:t>
      </w:r>
      <w:r>
        <w:rPr>
          <w:rFonts w:cs="Arial TUR" w:ascii="Arial TUR" w:hAnsi="Arial TUR"/>
          <w:color w:val="000000"/>
          <w:lang w:eastAsia="he-IL"/>
        </w:rPr>
        <w:t>170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, </w:t>
      </w:r>
      <w:r>
        <w:rPr>
          <w:rFonts w:cs="Arial TUR" w:ascii="Arial TUR" w:hAnsi="Arial TUR"/>
          <w:color w:val="000000"/>
          <w:lang w:eastAsia="he-IL"/>
        </w:rPr>
        <w:t>174</w:t>
      </w:r>
      <w:r>
        <w:rPr>
          <w:rFonts w:cs="Arial TUR" w:ascii="Arial TUR" w:hAnsi="Arial TUR"/>
          <w:color w:val="000000"/>
          <w:rtl w:val="true"/>
          <w:lang w:eastAsia="he-IL"/>
        </w:rPr>
        <w:t>).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Arial TUR" w:hAnsi="Arial TUR" w:cs="Arial TUR"/>
          <w:color w:val="000000"/>
          <w:lang w:eastAsia="he-IL"/>
        </w:rPr>
      </w:pPr>
      <w:r>
        <w:rPr>
          <w:rFonts w:cs="Arial TUR" w:ascii="Arial TUR" w:hAnsi="Arial TUR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איכות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1332/04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- 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Arial TUR" w:hAnsi="Arial TUR" w:cs="Arial TUR"/>
          <w:color w:val="000000"/>
          <w:lang w:eastAsia="he-IL"/>
        </w:rPr>
      </w:pPr>
      <w:r>
        <w:rPr>
          <w:rFonts w:cs="Arial TUR" w:ascii="Arial TUR" w:hAnsi="Arial TUR"/>
          <w:color w:val="000000"/>
          <w:lang w:eastAsia="he-IL"/>
        </w:rPr>
        <w:t>61</w:t>
      </w:r>
      <w:r>
        <w:rPr>
          <w:rFonts w:cs="Arial TUR" w:ascii="Arial TUR" w:hAnsi="Arial TUR"/>
          <w:color w:val="000000"/>
          <w:rtl w:val="true"/>
          <w:lang w:eastAsia="he-IL"/>
        </w:rPr>
        <w:t>.</w:t>
        <w:tab/>
      </w:r>
      <w:r>
        <w:rPr>
          <w:rFonts w:ascii="Arial TUR" w:hAnsi="Arial TUR" w:cs="Arial TUR"/>
          <w:color w:val="000000"/>
          <w:rtl w:val="true"/>
          <w:lang w:eastAsia="he-IL"/>
        </w:rPr>
        <w:t>בבואנו לקבוע את מתחם העונש ההולם ניתן להיעזר בפסיקה הנוהגת של בתי המשפט על ערכאותיהם השונות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, </w:t>
      </w:r>
      <w:r>
        <w:rPr>
          <w:rFonts w:ascii="Arial TUR" w:hAnsi="Arial TUR" w:cs="Arial TUR"/>
          <w:color w:val="000000"/>
          <w:rtl w:val="true"/>
          <w:lang w:eastAsia="he-IL"/>
        </w:rPr>
        <w:t>שעיון בה מצביע על ענישה עם פערים שונים ולפעמים משמעותיים והדוגמאות הבאות ימחישו זאת</w:t>
      </w:r>
      <w:r>
        <w:rPr>
          <w:rFonts w:cs="Arial TUR" w:ascii="Arial TUR" w:hAnsi="Arial TUR"/>
          <w:color w:val="000000"/>
          <w:rtl w:val="true"/>
          <w:lang w:eastAsia="he-IL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Arial TUR" w:hAnsi="Arial TUR" w:cs="Arial TUR"/>
          <w:color w:val="000000"/>
          <w:lang w:eastAsia="he-IL"/>
        </w:rPr>
      </w:pPr>
      <w:r>
        <w:rPr>
          <w:rFonts w:cs="Arial TUR" w:ascii="Arial TUR" w:hAnsi="Arial TUR"/>
          <w:color w:val="000000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Arial TUR" w:hAnsi="Arial TUR" w:cs="Arial TUR"/>
          <w:color w:val="000000"/>
          <w:lang w:eastAsia="he-IL"/>
        </w:rPr>
      </w:pPr>
      <w:r>
        <w:rPr>
          <w:rFonts w:ascii="Arial TUR" w:hAnsi="Arial TUR" w:cs="Arial TUR"/>
          <w:color w:val="000000"/>
          <w:rtl w:val="true"/>
          <w:lang w:eastAsia="he-IL"/>
        </w:rPr>
        <w:t>ב</w:t>
      </w:r>
      <w:hyperlink r:id="rId20"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Arial TUR" w:ascii="Arial TUR" w:hAnsi="Arial TUR"/>
            <w:color w:val="0000FF"/>
            <w:u w:val="single"/>
            <w:lang w:eastAsia="he-IL"/>
          </w:rPr>
          <w:t>5220/09</w:t>
        </w:r>
      </w:hyperlink>
      <w:r>
        <w:rPr>
          <w:rFonts w:cs="Arial TUR" w:ascii="Arial TUR" w:hAnsi="Arial TUR"/>
          <w:color w:val="000000"/>
          <w:rtl w:val="true"/>
          <w:lang w:eastAsia="he-IL"/>
        </w:rPr>
        <w:t xml:space="preserve"> </w:t>
      </w:r>
      <w:r>
        <w:rPr>
          <w:rFonts w:ascii="Arial TUR" w:hAnsi="Arial TUR" w:cs="Arial TUR"/>
          <w:b/>
          <w:b/>
          <w:bCs/>
          <w:color w:val="000000"/>
          <w:rtl w:val="true"/>
          <w:lang w:eastAsia="he-IL"/>
        </w:rPr>
        <w:t>עוואודה נגד מדינת ישראל</w:t>
      </w:r>
      <w:r>
        <w:rPr>
          <w:rFonts w:ascii="Arial TUR" w:hAnsi="Arial TUR" w:cs="Arial TUR"/>
          <w:color w:val="000000"/>
          <w:rtl w:val="true"/>
          <w:lang w:eastAsia="he-IL"/>
        </w:rPr>
        <w:t xml:space="preserve"> </w:t>
      </w:r>
      <w:r>
        <w:rPr>
          <w:rFonts w:cs="Arial TUR" w:ascii="Arial TUR" w:hAnsi="Arial TUR"/>
          <w:color w:val="000000"/>
          <w:rtl w:val="true"/>
          <w:lang w:eastAsia="he-IL"/>
        </w:rPr>
        <w:t>(</w:t>
      </w:r>
      <w:r>
        <w:rPr>
          <w:rFonts w:ascii="Arial TUR" w:hAnsi="Arial TUR" w:cs="Arial TUR"/>
          <w:color w:val="000000"/>
          <w:rtl w:val="true"/>
          <w:lang w:eastAsia="he-IL"/>
        </w:rPr>
        <w:t xml:space="preserve">ניתן ביום </w:t>
      </w:r>
      <w:r>
        <w:rPr>
          <w:rFonts w:cs="Arial TUR" w:ascii="Arial TUR" w:hAnsi="Arial TUR"/>
          <w:color w:val="000000"/>
          <w:lang w:eastAsia="he-IL"/>
        </w:rPr>
        <w:t>30.12.09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), </w:t>
      </w:r>
      <w:r>
        <w:rPr>
          <w:rFonts w:ascii="Arial TUR" w:hAnsi="Arial TUR" w:cs="Arial TUR"/>
          <w:color w:val="000000"/>
          <w:rtl w:val="true"/>
          <w:lang w:eastAsia="he-IL"/>
        </w:rPr>
        <w:t>שם הורשע הנאשם בהחזקת נשק ותחמושת ללא רישיון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Arial TUR" w:hAnsi="Arial TUR" w:cs="Arial TUR"/>
          <w:color w:val="000000"/>
          <w:lang w:eastAsia="he-IL"/>
        </w:rPr>
      </w:pPr>
      <w:r>
        <w:rPr>
          <w:rFonts w:ascii="Arial TUR" w:hAnsi="Arial TUR" w:cs="Arial TUR"/>
          <w:color w:val="000000"/>
          <w:rtl w:val="true"/>
          <w:lang w:eastAsia="he-IL"/>
        </w:rPr>
        <w:t xml:space="preserve">בית המשפט המחוזי התחשב </w:t>
      </w:r>
      <w:r>
        <w:rPr>
          <w:rFonts w:ascii="Arial TUR" w:hAnsi="Arial TUR" w:cs="Arial TUR"/>
          <w:color w:val="000000"/>
          <w:spacing w:val="10"/>
          <w:rtl w:val="true"/>
          <w:lang w:eastAsia="he-IL"/>
        </w:rPr>
        <w:t>לקולה בעברו הנקי של הנאשם ואורח החיים הנורמטיבי</w:t>
      </w:r>
      <w:r>
        <w:rPr>
          <w:rFonts w:cs="Arial TUR" w:ascii="Arial TUR" w:hAnsi="Arial TUR"/>
          <w:color w:val="000000"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color w:val="000000"/>
          <w:spacing w:val="10"/>
          <w:rtl w:val="true"/>
          <w:lang w:eastAsia="he-IL"/>
        </w:rPr>
        <w:t>היעדר עבירות נוספות לצד החזקת הנשק</w:t>
      </w:r>
      <w:r>
        <w:rPr>
          <w:rFonts w:cs="Arial TUR" w:ascii="Arial TUR" w:hAnsi="Arial TUR"/>
          <w:color w:val="000000"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color w:val="000000"/>
          <w:spacing w:val="10"/>
          <w:rtl w:val="true"/>
          <w:lang w:eastAsia="he-IL"/>
        </w:rPr>
        <w:t>וכן הודאתו</w:t>
      </w:r>
      <w:r>
        <w:rPr>
          <w:rFonts w:cs="Arial TUR" w:ascii="Arial TUR" w:hAnsi="Arial TUR"/>
          <w:color w:val="000000"/>
          <w:spacing w:val="10"/>
          <w:rtl w:val="true"/>
          <w:lang w:eastAsia="he-IL"/>
        </w:rPr>
        <w:t xml:space="preserve">, </w:t>
      </w:r>
      <w:r>
        <w:rPr>
          <w:rFonts w:ascii="Arial TUR" w:hAnsi="Arial TUR" w:cs="Arial TUR"/>
          <w:color w:val="000000"/>
          <w:spacing w:val="10"/>
          <w:rtl w:val="true"/>
          <w:lang w:eastAsia="he-IL"/>
        </w:rPr>
        <w:t>חרטתו ונטילת אחריות והט</w:t>
      </w:r>
      <w:r>
        <w:rPr>
          <w:rFonts w:ascii="Arial TUR" w:hAnsi="Arial TUR" w:cs="Arial TUR"/>
          <w:color w:val="000000"/>
          <w:rtl w:val="true"/>
          <w:lang w:eastAsia="he-IL"/>
        </w:rPr>
        <w:t xml:space="preserve">יל עליו </w:t>
      </w:r>
      <w:r>
        <w:rPr>
          <w:rFonts w:cs="Arial TUR" w:ascii="Arial TUR" w:hAnsi="Arial TUR"/>
          <w:color w:val="000000"/>
          <w:lang w:eastAsia="he-IL"/>
        </w:rPr>
        <w:t>6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 </w:t>
      </w:r>
      <w:r>
        <w:rPr>
          <w:rFonts w:ascii="Arial TUR" w:hAnsi="Arial TUR" w:cs="Arial TUR"/>
          <w:color w:val="000000"/>
          <w:rtl w:val="true"/>
          <w:lang w:eastAsia="he-IL"/>
        </w:rPr>
        <w:t>חודשי מאסר בפועל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, </w:t>
      </w:r>
      <w:r>
        <w:rPr>
          <w:rFonts w:cs="Arial TUR" w:ascii="Arial TUR" w:hAnsi="Arial TUR"/>
          <w:color w:val="000000"/>
          <w:lang w:eastAsia="he-IL"/>
        </w:rPr>
        <w:t>9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 </w:t>
      </w:r>
      <w:r>
        <w:rPr>
          <w:rFonts w:ascii="Arial TUR" w:hAnsi="Arial TUR" w:cs="Arial TUR"/>
          <w:color w:val="000000"/>
          <w:rtl w:val="true"/>
          <w:lang w:eastAsia="he-IL"/>
        </w:rPr>
        <w:t>חודשי מאסר על תנאי וקנס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Arial TUR" w:hAnsi="Arial TUR" w:cs="Arial TUR"/>
          <w:color w:val="000000"/>
          <w:lang w:eastAsia="he-IL"/>
        </w:rPr>
      </w:pPr>
      <w:r>
        <w:rPr>
          <w:rFonts w:cs="Arial TUR" w:ascii="Arial TUR" w:hAnsi="Arial TUR"/>
          <w:color w:val="000000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>
          <w:rFonts w:ascii="Arial TUR" w:hAnsi="Arial TUR" w:cs="Arial TUR"/>
          <w:color w:val="000000"/>
          <w:lang w:eastAsia="he-IL"/>
        </w:rPr>
      </w:pPr>
      <w:r>
        <w:rPr>
          <w:rFonts w:ascii="Arial TUR" w:hAnsi="Arial TUR" w:cs="Arial TUR"/>
          <w:color w:val="000000"/>
          <w:rtl w:val="true"/>
          <w:lang w:eastAsia="he-IL"/>
        </w:rPr>
        <w:t>בית המשפט העליון לא התערב בגזר הדין והשאיר את העונש על כנו</w:t>
      </w:r>
      <w:r>
        <w:rPr>
          <w:rFonts w:cs="Arial TUR" w:ascii="Arial TUR" w:hAnsi="Arial TUR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 TUR" w:hAnsi="Arial TUR" w:cs="Arial TUR"/>
          <w:color w:val="000000"/>
          <w:lang w:eastAsia="he-IL"/>
        </w:rPr>
      </w:pPr>
      <w:r>
        <w:rPr>
          <w:rFonts w:cs="Arial TUR" w:ascii="Arial TUR" w:hAnsi="Arial TUR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62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ב</w:t>
      </w:r>
      <w:hyperlink r:id="rId21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5681/14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מוחמד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טאטור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01.02.15</w:t>
      </w:r>
      <w:r>
        <w:rPr>
          <w:sz w:val="22"/>
          <w:rtl w:val="true"/>
          <w:lang w:eastAsia="he-IL"/>
        </w:rPr>
        <w:t>)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 xml:space="preserve"> - </w:t>
      </w:r>
      <w:r>
        <w:rPr>
          <w:sz w:val="22"/>
          <w:sz w:val="22"/>
          <w:rtl w:val="true"/>
          <w:lang w:eastAsia="he-IL"/>
        </w:rPr>
        <w:t>החמיר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העליון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בעונשו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רכישה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והחזקה</w:t>
      </w:r>
      <w:r>
        <w:rPr>
          <w:sz w:val="22"/>
          <w:rtl w:val="true"/>
          <w:lang w:eastAsia="he-IL"/>
        </w:rPr>
        <w:t>) (</w:t>
      </w:r>
      <w:r>
        <w:rPr>
          <w:sz w:val="22"/>
          <w:sz w:val="22"/>
          <w:rtl w:val="true"/>
          <w:lang w:eastAsia="he-IL"/>
        </w:rPr>
        <w:t>נשיאה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והובלה</w:t>
      </w:r>
      <w:r>
        <w:rPr>
          <w:sz w:val="22"/>
          <w:rtl w:val="true"/>
          <w:lang w:eastAsia="he-IL"/>
        </w:rPr>
        <w:t xml:space="preserve">) </w:t>
      </w:r>
      <w:r>
        <w:rPr>
          <w:sz w:val="22"/>
          <w:sz w:val="22"/>
          <w:rtl w:val="true"/>
          <w:lang w:eastAsia="he-IL"/>
        </w:rPr>
        <w:t>ועבירה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הפרעה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לשוטר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בשעת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מילוי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תפקידו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והעמידו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8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63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ב</w:t>
      </w:r>
      <w:hyperlink r:id="rId22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מחוזי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נצ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sz w:val="22"/>
            <w:u w:val="single"/>
            <w:lang w:eastAsia="he-IL"/>
          </w:rPr>
          <w:t>35007-04-13</w:t>
        </w:r>
      </w:hyperlink>
      <w:r>
        <w:rPr>
          <w:color w:val="0000FF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איסלאם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עזאיזה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08.01.15</w:t>
      </w:r>
      <w:r>
        <w:rPr>
          <w:sz w:val="22"/>
          <w:rtl w:val="true"/>
          <w:lang w:eastAsia="he-IL"/>
        </w:rPr>
        <w:t xml:space="preserve">) – </w:t>
      </w:r>
      <w:r>
        <w:rPr>
          <w:sz w:val="22"/>
          <w:sz w:val="22"/>
          <w:rtl w:val="true"/>
          <w:lang w:eastAsia="he-IL"/>
        </w:rPr>
        <w:t>נגזרו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נשיאת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למשך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9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חודשים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עוד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קבע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כי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מתחם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ההולם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7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לבין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30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בצירוף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עונשים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נלווים</w:t>
      </w:r>
      <w:r>
        <w:rPr>
          <w:sz w:val="22"/>
          <w:rtl w:val="true"/>
          <w:lang w:eastAsia="he-IL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64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ב</w:t>
      </w:r>
      <w:hyperlink r:id="rId23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מרכז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color w:val="0000FF"/>
            <w:sz w:val="22"/>
            <w:u w:val="single"/>
            <w:lang w:eastAsia="he-IL"/>
          </w:rPr>
          <w:t>39796-06-12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עלא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חטיב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20.03.13</w:t>
      </w:r>
      <w:r>
        <w:rPr>
          <w:sz w:val="22"/>
          <w:rtl w:val="true"/>
          <w:lang w:eastAsia="he-IL"/>
        </w:rPr>
        <w:t xml:space="preserve">) -  </w:t>
      </w:r>
      <w:r>
        <w:rPr>
          <w:sz w:val="22"/>
          <w:sz w:val="22"/>
          <w:rtl w:val="true"/>
          <w:lang w:eastAsia="he-IL"/>
        </w:rPr>
        <w:t>דחה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המחוזי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ערעורו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חומרת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שנגזר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עליו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השלום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לאחר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ניהול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הוכחות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וחלק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hyperlink r:id="rId24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)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</w:t>
      </w:r>
      <w:hyperlink r:id="rId25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העונשין</w:t>
        </w:r>
      </w:hyperlink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בהכרעת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נקבע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כי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הסתיר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מחוץ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לחצר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שקית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ובתוכה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כיסויי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משען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ראש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לרכב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שבתוכה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היו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מונחים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אקדח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ובו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מחסנית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כדורים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בנוסף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החזיק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כדורים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ברכבו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נדון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</w:t>
      </w:r>
      <w:r>
        <w:rPr>
          <w:sz w:val="22"/>
          <w:rtl w:val="true"/>
          <w:lang w:eastAsia="he-IL"/>
        </w:rPr>
        <w:t>-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12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לשישה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תנאי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ולקנס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בסך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7,500</w:t>
      </w:r>
      <w:r>
        <w:rPr>
          <w:sz w:val="22"/>
          <w:rtl w:val="true"/>
          <w:lang w:eastAsia="he-IL"/>
        </w:rPr>
        <w:t xml:space="preserve"> ₪. </w:t>
      </w:r>
      <w:r>
        <w:rPr>
          <w:sz w:val="22"/>
          <w:sz w:val="22"/>
          <w:rtl w:val="true"/>
          <w:lang w:eastAsia="he-IL"/>
        </w:rPr>
        <w:t>בעברו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הרשעה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תקיפת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זוג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תקיפה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הגורמת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חבלה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ממש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שעליהן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נדון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תנאי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65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ב</w:t>
      </w:r>
      <w:hyperlink r:id="rId26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7241/12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עמאר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טאטור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12.02.13</w:t>
      </w:r>
      <w:r>
        <w:rPr>
          <w:sz w:val="22"/>
          <w:rtl w:val="true"/>
          <w:lang w:eastAsia="he-IL"/>
        </w:rPr>
        <w:t>)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 xml:space="preserve">– </w:t>
      </w:r>
      <w:r>
        <w:rPr>
          <w:sz w:val="22"/>
          <w:sz w:val="22"/>
          <w:rtl w:val="true"/>
          <w:lang w:eastAsia="he-IL"/>
        </w:rPr>
        <w:t>נדחה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ערעורו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שנדון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לאחר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הסדר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טיעון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טווח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ענישה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מוסכם</w:t>
      </w:r>
      <w:r>
        <w:rPr>
          <w:sz w:val="22"/>
          <w:rtl w:val="true"/>
          <w:lang w:eastAsia="he-IL"/>
        </w:rPr>
        <w:t xml:space="preserve">) </w:t>
      </w:r>
      <w:r>
        <w:rPr>
          <w:sz w:val="22"/>
          <w:sz w:val="22"/>
          <w:rtl w:val="true"/>
          <w:lang w:eastAsia="he-IL"/>
        </w:rPr>
        <w:t>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-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9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בגין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שנמשכה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מספר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חודשים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מבלי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</w:t>
      </w:r>
      <w:r>
        <w:rPr>
          <w:sz w:val="22"/>
          <w:sz w:val="22"/>
          <w:rtl w:val="true"/>
          <w:lang w:eastAsia="he-IL"/>
        </w:rPr>
        <w:t>עשה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שימוש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בנשק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66</w:t>
      </w:r>
      <w:r>
        <w:rPr>
          <w:sz w:val="22"/>
          <w:rtl w:val="true"/>
          <w:lang w:eastAsia="he-IL"/>
        </w:rPr>
        <w:t>.</w:t>
        <w:tab/>
      </w:r>
      <w:hyperlink r:id="rId27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חי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sz w:val="22"/>
            <w:u w:val="single"/>
            <w:lang w:eastAsia="he-IL"/>
          </w:rPr>
          <w:t>6059-02-12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גהגאה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19.04.12</w:t>
      </w:r>
      <w:r>
        <w:rPr>
          <w:sz w:val="22"/>
          <w:rtl w:val="true"/>
          <w:lang w:eastAsia="he-IL"/>
        </w:rPr>
        <w:t>)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 xml:space="preserve">– </w:t>
      </w:r>
      <w:r>
        <w:rPr>
          <w:sz w:val="22"/>
          <w:sz w:val="22"/>
          <w:rtl w:val="true"/>
          <w:lang w:eastAsia="he-IL"/>
        </w:rPr>
        <w:t>התקבל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ערעורה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המדינה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באופן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חלקי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קולת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עונשו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שהודה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בביצוע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והועמד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9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בצירוף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ענישה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נלווית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67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ב</w:t>
      </w:r>
      <w:hyperlink r:id="rId28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5604/11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נאסר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19.09.11</w:t>
      </w:r>
      <w:r>
        <w:rPr>
          <w:sz w:val="22"/>
          <w:rtl w:val="true"/>
          <w:lang w:eastAsia="he-IL"/>
        </w:rPr>
        <w:t>)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 xml:space="preserve">- </w:t>
      </w:r>
      <w:r>
        <w:rPr>
          <w:sz w:val="22"/>
          <w:sz w:val="22"/>
          <w:rtl w:val="true"/>
          <w:lang w:eastAsia="he-IL"/>
        </w:rPr>
        <w:t>אישר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העליון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12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ועונשים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פלילי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שאינו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מכביד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ואשר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חלקו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התיישן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אשר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 xml:space="preserve">-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ותחמושת</w:t>
      </w:r>
      <w:r>
        <w:rPr>
          <w:sz w:val="22"/>
          <w:rtl w:val="true"/>
          <w:lang w:eastAsia="he-IL"/>
        </w:rPr>
        <w:t>)</w:t>
      </w:r>
      <w:r>
        <w:rPr>
          <w:sz w:val="22"/>
          <w:rtl w:val="true"/>
          <w:lang w:eastAsia="he-IL"/>
        </w:rPr>
        <w:t>,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לאחר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שבביתו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נתפסו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אקדח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ומחסנית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לאקדח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ובה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שמונה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כדורים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תוך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שהוא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דוחה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ההבחנה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ביקש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סנגורו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להתמקד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ו</w:t>
      </w:r>
      <w:r>
        <w:rPr>
          <w:sz w:val="22"/>
          <w:sz w:val="22"/>
          <w:rtl w:val="true"/>
          <w:lang w:eastAsia="he-IL"/>
        </w:rPr>
        <w:t>שבמרכזה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הטענה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לאי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שמישות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האקדח</w:t>
      </w:r>
      <w:r>
        <w:rPr>
          <w:sz w:val="22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68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ב</w:t>
      </w:r>
      <w:hyperlink r:id="rId29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5220/09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הייתם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עוואודה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28.12.09</w:t>
      </w:r>
      <w:r>
        <w:rPr>
          <w:sz w:val="22"/>
          <w:rtl w:val="true"/>
          <w:lang w:eastAsia="he-IL"/>
        </w:rPr>
        <w:t xml:space="preserve">) - </w:t>
      </w:r>
      <w:r>
        <w:rPr>
          <w:sz w:val="22"/>
          <w:sz w:val="22"/>
          <w:rtl w:val="true"/>
          <w:lang w:eastAsia="he-IL"/>
        </w:rPr>
        <w:t>נדון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ערעורו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נעדר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הרשעות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קודמות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אשר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הודה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 xml:space="preserve">-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במסגרת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הסדר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טיעון</w:t>
      </w:r>
      <w:r>
        <w:rPr>
          <w:sz w:val="22"/>
          <w:rtl w:val="true"/>
          <w:lang w:eastAsia="he-IL"/>
        </w:rPr>
        <w:t>)</w:t>
      </w:r>
      <w:r>
        <w:rPr>
          <w:sz w:val="22"/>
          <w:rtl w:val="true"/>
          <w:lang w:eastAsia="he-IL"/>
        </w:rPr>
        <w:t>,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שעניינה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החזקת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ותחמושת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הושתו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15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מתוכם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6</w:t>
      </w:r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מאחורי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סורג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ובריח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והיתר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תנאי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תוך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חיובו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בתשלום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קנס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הערעור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חומרת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העונש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נדחה</w:t>
      </w:r>
      <w:r>
        <w:rPr>
          <w:sz w:val="22"/>
          <w:rtl w:val="true"/>
          <w:lang w:eastAsia="he-IL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sz w:val="22"/>
          <w:lang w:eastAsia="he-IL"/>
        </w:rPr>
      </w:pPr>
      <w:r>
        <w:rPr>
          <w:sz w:val="22"/>
          <w:lang w:eastAsia="he-IL"/>
        </w:rPr>
        <w:t>69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ב</w:t>
      </w:r>
      <w:hyperlink r:id="rId30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א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נצ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sz w:val="22"/>
            <w:u w:val="single"/>
            <w:lang w:eastAsia="he-IL"/>
          </w:rPr>
          <w:t>152/08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אחמד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עואודה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נ</w:t>
      </w:r>
      <w:r>
        <w:rPr>
          <w:b/>
          <w:bCs/>
          <w:sz w:val="22"/>
          <w:rtl w:val="true"/>
          <w:lang w:eastAsia="he-IL"/>
        </w:rPr>
        <w:t xml:space="preserve">' </w:t>
      </w:r>
      <w:r>
        <w:rPr>
          <w:b/>
          <w:b/>
          <w:bCs/>
          <w:sz w:val="22"/>
          <w:sz w:val="22"/>
          <w:rtl w:val="true"/>
          <w:lang w:eastAsia="he-IL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he-IL"/>
        </w:rPr>
        <w:t xml:space="preserve"> </w:t>
      </w:r>
      <w:r>
        <w:rPr>
          <w:b/>
          <w:b/>
          <w:bCs/>
          <w:sz w:val="22"/>
          <w:sz w:val="22"/>
          <w:rtl w:val="true"/>
          <w:lang w:eastAsia="he-IL"/>
        </w:rPr>
        <w:t>ישראל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ניתן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24.06.08</w:t>
      </w:r>
      <w:r>
        <w:rPr>
          <w:sz w:val="22"/>
          <w:rtl w:val="true"/>
          <w:lang w:eastAsia="he-IL"/>
        </w:rPr>
        <w:t xml:space="preserve">) –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הודאתו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השלום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בנצרת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בעבירות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נשק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hyperlink r:id="rId31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u w:val="single"/>
            <w:lang w:eastAsia="he-IL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  <w:lang w:eastAsia="he-IL"/>
          </w:rPr>
          <w:t>)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רישא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וסיפא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</w:t>
      </w:r>
      <w:hyperlink r:id="rId32"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  <w:lang w:eastAsia="he-IL"/>
          </w:rPr>
          <w:t>העונשין</w:t>
        </w:r>
      </w:hyperlink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קמא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גזר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לתקופה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בצירוף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עונשים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נלווים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המערער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נעדר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פלילי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הודה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במיוחס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וחסך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זמן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שיפוטי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יקר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המחוזי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בנצרת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קיבל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הערעור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במובן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זה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</w:t>
      </w:r>
      <w:r>
        <w:rPr>
          <w:sz w:val="22"/>
          <w:sz w:val="22"/>
          <w:rtl w:val="true"/>
          <w:lang w:eastAsia="he-IL"/>
        </w:rPr>
        <w:t>הפחית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תקופת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המאסר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בפועל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לתקופה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חודשים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אותם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ריצה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בעבודות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שירות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בצירוף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ענישה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נלווית</w:t>
      </w:r>
      <w:r>
        <w:rPr>
          <w:sz w:val="22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lang w:eastAsia="he-IL"/>
        </w:rPr>
      </w:pPr>
      <w:r>
        <w:rPr>
          <w:b/>
          <w:bCs/>
          <w:sz w:val="22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71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9373/10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חמד ותד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14.09.11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הנאשם הורשע על פי הודאתו בעבירות של החזקת ונשיאת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החזיק אקדח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בביתו מתחת למזרון מיטתו ועוד </w:t>
      </w: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 שהוטמנו בחצר 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נשא את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לנאשם היו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 קודמות בגין הצתה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 במזיד ברכב והפרעה לשוטר במילוי 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הוא נדון בביהמ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 xml:space="preserve">ש המחוזי לתקופה של </w:t>
      </w:r>
      <w:r>
        <w:rPr>
          <w:rFonts w:cs="Calibri" w:ascii="Calibri" w:hAnsi="Calibri"/>
          <w:u w:val="single"/>
        </w:rPr>
        <w:t>50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בפועל ובביהמ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 xml:space="preserve">ש העליון הופחת עונשו ל – </w:t>
      </w:r>
      <w:r>
        <w:rPr>
          <w:rFonts w:cs="Calibri" w:ascii="Calibri" w:hAnsi="Calibri"/>
          <w:u w:val="single"/>
        </w:rPr>
        <w:t>30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 מאסר בפועל</w:t>
      </w:r>
      <w:r>
        <w:rPr>
          <w:rFonts w:cs="Calibri" w:ascii="Calibri" w:hAnsi="Calibri"/>
          <w:u w:val="single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ביהמ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ש העליון הסכים עם מגמת ההחמרה בענישתם של מבצעי עבירות בנשק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אך ציין שראוי שהדבר יעשה בהדרגה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21.02.12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נשא ברכבו אקדח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נדון בביהמ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ש המחוזי לשנתיים מאסר בפועל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ביהמ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ש העליון דחה את ערעורו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73</w:t>
      </w:r>
      <w:r>
        <w:rPr>
          <w:rFonts w:cs="Calibri" w:ascii="Calibri" w:hAnsi="Calibri"/>
          <w:rtl w:val="true"/>
        </w:rPr>
        <w:t>.</w:t>
        <w:tab/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15148-03-12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כבהה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19.02.13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מדובר בעבירות של החזקת נשק ושינוי ל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ז של 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עבר 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מתחם הענישה שנקבע הינו </w:t>
      </w:r>
      <w:r>
        <w:rPr>
          <w:rFonts w:cs="Calibri" w:ascii="Calibri" w:hAnsi="Calibri"/>
        </w:rPr>
        <w:t>2-4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העונש שהושת על הנאשם הינו שנתיים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75</w:t>
      </w:r>
      <w:r>
        <w:rPr>
          <w:rtl w:val="true"/>
        </w:rPr>
        <w:t>.</w:t>
        <w:tab/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5.12.06</w:t>
      </w:r>
      <w:r>
        <w:rPr>
          <w:rtl w:val="true"/>
        </w:rPr>
        <w:t xml:space="preserve">),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13.2.11</w:t>
      </w:r>
      <w:r>
        <w:rPr>
          <w:rtl w:val="true"/>
        </w:rPr>
        <w:t>)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כעולה מהתסקיר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ראו סעיף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תמוהה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</w:t>
      </w:r>
      <w:r>
        <w:rPr>
          <w:rFonts w:ascii="Calibri" w:hAnsi="Calibri" w:cs="Calibri"/>
          <w:rtl w:val="true"/>
        </w:rPr>
        <w:t>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7349/14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פלונית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14.05.15</w:t>
      </w:r>
      <w:r>
        <w:rPr>
          <w:rFonts w:cs="Calibri" w:ascii="Calibri" w:hAnsi="Calibri"/>
          <w:rtl w:val="true"/>
        </w:rPr>
        <w:t>).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לדעתי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 העניין ומכל המקובץ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 לקבל את המלצת שירות המבחן בשל חוסר הסבירות שבין ההמלצה שהביא בתסקירו לבין חומרת העבירה ושיקולי הענישה האחרים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כלל </w:t>
      </w:r>
      <w:r>
        <w:rPr>
          <w:rFonts w:ascii="Calibri" w:hAnsi="Calibri" w:cs="Calibri"/>
          <w:rtl w:val="true"/>
        </w:rPr>
        <w:t>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ascii="Calibri" w:hAnsi="Calibri" w:cs="Calibri"/>
          <w:rtl w:val="true"/>
        </w:rPr>
        <w:t xml:space="preserve"> וכך אני עושה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26.02.15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06.05.15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עבירת אלימות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קנס בסך של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1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1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הקנס ישולם בחמישה תשלומים שווים ורצופים החל מיום </w:t>
      </w:r>
      <w:r>
        <w:rPr>
          <w:rFonts w:cs="Calibri" w:ascii="Calibri" w:hAnsi="Calibri"/>
        </w:rPr>
        <w:t>01.02.16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 בכל ראשון לכל חודש שלאחריו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טבת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נווה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15.12.15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21009-03-15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עאוני סואעד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140" w:hanging="360"/>
      </w:pPr>
      <w:rPr>
        <w:rFonts w:cs="David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4764" TargetMode="External"/><Relationship Id="rId7" Type="http://schemas.openxmlformats.org/officeDocument/2006/relationships/hyperlink" Target="http://www.nevo.co.il/law/4764/4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4764/4a" TargetMode="External"/><Relationship Id="rId13" Type="http://schemas.openxmlformats.org/officeDocument/2006/relationships/hyperlink" Target="http://www.nevo.co.il/law/4764" TargetMode="External"/><Relationship Id="rId14" Type="http://schemas.openxmlformats.org/officeDocument/2006/relationships/hyperlink" Target="http://www.nevo.co.il/case/5873817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yperlink" Target="http://www.nevo.co.il/case/6072945" TargetMode="External"/><Relationship Id="rId17" Type="http://schemas.openxmlformats.org/officeDocument/2006/relationships/hyperlink" Target="http://www.nevo.co.il/case/6040482" TargetMode="External"/><Relationship Id="rId18" Type="http://schemas.openxmlformats.org/officeDocument/2006/relationships/hyperlink" Target="http://www.nevo.co.il/case/17941073" TargetMode="External"/><Relationship Id="rId19" Type="http://schemas.openxmlformats.org/officeDocument/2006/relationships/hyperlink" Target="http://www.nevo.co.il/case/5762686" TargetMode="External"/><Relationship Id="rId20" Type="http://schemas.openxmlformats.org/officeDocument/2006/relationships/hyperlink" Target="http://www.nevo.co.il/case/6000182" TargetMode="External"/><Relationship Id="rId21" Type="http://schemas.openxmlformats.org/officeDocument/2006/relationships/hyperlink" Target="http://www.nevo.co.il/case/17954222" TargetMode="External"/><Relationship Id="rId22" Type="http://schemas.openxmlformats.org/officeDocument/2006/relationships/hyperlink" Target="http://www.nevo.co.il/case/7878510" TargetMode="External"/><Relationship Id="rId23" Type="http://schemas.openxmlformats.org/officeDocument/2006/relationships/hyperlink" Target="http://www.nevo.co.il/case/3507722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5597217" TargetMode="External"/><Relationship Id="rId27" Type="http://schemas.openxmlformats.org/officeDocument/2006/relationships/hyperlink" Target="http://www.nevo.co.il/case/4258499" TargetMode="External"/><Relationship Id="rId28" Type="http://schemas.openxmlformats.org/officeDocument/2006/relationships/hyperlink" Target="http://www.nevo.co.il/case/6024035" TargetMode="External"/><Relationship Id="rId29" Type="http://schemas.openxmlformats.org/officeDocument/2006/relationships/hyperlink" Target="http://www.nevo.co.il/case/6000182" TargetMode="External"/><Relationship Id="rId30" Type="http://schemas.openxmlformats.org/officeDocument/2006/relationships/hyperlink" Target="http://www.nevo.co.il/case/642647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6151556" TargetMode="External"/><Relationship Id="rId34" Type="http://schemas.openxmlformats.org/officeDocument/2006/relationships/hyperlink" Target="http://www.nevo.co.il/case/5878682" TargetMode="External"/><Relationship Id="rId35" Type="http://schemas.openxmlformats.org/officeDocument/2006/relationships/hyperlink" Target="http://www.nevo.co.il/case/4552738" TargetMode="External"/><Relationship Id="rId36" Type="http://schemas.openxmlformats.org/officeDocument/2006/relationships/hyperlink" Target="http://www.nevo.co.il/case/6072945" TargetMode="External"/><Relationship Id="rId37" Type="http://schemas.openxmlformats.org/officeDocument/2006/relationships/hyperlink" Target="http://www.nevo.co.il/case/6058757" TargetMode="External"/><Relationship Id="rId38" Type="http://schemas.openxmlformats.org/officeDocument/2006/relationships/hyperlink" Target="http://www.nevo.co.il/case/18131336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2016-06-19T08:05:00Z</dcterms:created>
  <dc:creator> </dc:creator>
  <dc:description/>
  <cp:keywords/>
  <dc:language>en-IL</dc:language>
  <cp:lastModifiedBy>run</cp:lastModifiedBy>
  <dcterms:modified xsi:type="dcterms:W3CDTF">2016-06-19T08:05:00Z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עאוני סואעד</vt:lpwstr>
  </property>
  <property fmtid="{D5CDD505-2E9C-101B-9397-08002B2CF9AE}" pid="4" name="CASESLISTTMP1">
    <vt:lpwstr>5873817;5852404;6072945:2;6040482;17941073;5762686;6000182:2;17954222;7878510;3507722;5597217;4258499;6024035;642647;6151556;5878682;4552738;6058757;18131336</vt:lpwstr>
  </property>
  <property fmtid="{D5CDD505-2E9C-101B-9397-08002B2CF9AE}" pid="5" name="CITY">
    <vt:lpwstr>חי'</vt:lpwstr>
  </property>
  <property fmtid="{D5CDD505-2E9C-101B-9397-08002B2CF9AE}" pid="6" name="DATE">
    <vt:lpwstr>20151215</vt:lpwstr>
  </property>
  <property fmtid="{D5CDD505-2E9C-101B-9397-08002B2CF9AE}" pid="7" name="ISABSTRACT">
    <vt:lpwstr>Y</vt:lpwstr>
  </property>
  <property fmtid="{D5CDD505-2E9C-101B-9397-08002B2CF9AE}" pid="8" name="JUDGE">
    <vt:lpwstr>כמאל סעב 15.12.15</vt:lpwstr>
  </property>
  <property fmtid="{D5CDD505-2E9C-101B-9397-08002B2CF9AE}" pid="9" name="LAWLISTTMP1">
    <vt:lpwstr>70301/144.a:3;144.b;192</vt:lpwstr>
  </property>
  <property fmtid="{D5CDD505-2E9C-101B-9397-08002B2CF9AE}" pid="10" name="LAWLISTTMP2">
    <vt:lpwstr>4764/004a</vt:lpwstr>
  </property>
  <property fmtid="{D5CDD505-2E9C-101B-9397-08002B2CF9AE}" pid="11" name="LAWYER">
    <vt:lpwstr>ישראל;פרקליטות מחוז חיפה פלילי;שגב אדלר פמ"ח (פלילי);תומר נוה</vt:lpwstr>
  </property>
  <property fmtid="{D5CDD505-2E9C-101B-9397-08002B2CF9AE}" pid="12" name="NEWPARTA">
    <vt:lpwstr>21009</vt:lpwstr>
  </property>
  <property fmtid="{D5CDD505-2E9C-101B-9397-08002B2CF9AE}" pid="13" name="NEWPARTB">
    <vt:lpwstr>03</vt:lpwstr>
  </property>
  <property fmtid="{D5CDD505-2E9C-101B-9397-08002B2CF9AE}" pid="14" name="NEWPARTC">
    <vt:lpwstr>15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390020151215</vt:lpwstr>
  </property>
  <property fmtid="{D5CDD505-2E9C-101B-9397-08002B2CF9AE}" pid="19" name="TYPE_N_DATE">
    <vt:lpwstr>39020151215</vt:lpwstr>
  </property>
  <property fmtid="{D5CDD505-2E9C-101B-9397-08002B2CF9AE}" pid="20" name="WORDNUMPAGES">
    <vt:lpwstr>13</vt:lpwstr>
  </property>
</Properties>
</file>