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2101-10-19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כיוף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כיוף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הנאשם הורשע בהתאם להודאתו בעובדות כתב האישום המתוקן בעבירה של </w:t>
      </w:r>
      <w:r>
        <w:rPr>
          <w:b/>
          <w:b/>
          <w:bCs/>
          <w:rtl w:val="true"/>
        </w:rPr>
        <w:t>החזקת נשק</w:t>
      </w:r>
      <w:r>
        <w:rPr>
          <w:rtl w:val="true"/>
        </w:rPr>
        <w:t xml:space="preserve">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15.9.19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21:00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 הגיע ברכבו למחסום תאנים סמוך לעיר טייבה כשעמו ברכב אשתו ושני ילדיו הקטנים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בחיפוש שנערך ברכב על ידי המאבטחים נמצא כי הנאשם החזיק ברכבו רובה חצי אוטומטי מסוג </w:t>
      </w:r>
      <w:r>
        <w:rPr>
          <w:b/>
          <w:bCs/>
        </w:rPr>
        <w:t>SAVAGE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 עטוף בבד ומוסלק מתחת למושב האחורי ברכב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עוד הוסכם כי המאשימה תטען לעונש ראוי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וקנס וההגנה תהא חופשיה בטיעוניה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כבן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נשוי ואב לשני ילדים צעירים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</w:t>
      </w:r>
      <w:r>
        <w:rPr>
          <w:b/>
          <w:b/>
          <w:bCs/>
          <w:rtl w:val="true"/>
        </w:rPr>
        <w:t>שרת שירות צבאי מלא כצלף</w:t>
      </w:r>
      <w:r>
        <w:rPr>
          <w:rtl w:val="true"/>
        </w:rPr>
        <w:t xml:space="preserve">. </w:t>
      </w:r>
      <w:r>
        <w:rPr>
          <w:rtl w:val="true"/>
        </w:rPr>
        <w:t>לפני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אמו מתה ממחלה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נפצע בתאונת דרכים שבעקבותיה עבר תהליך שיקום ממושך</w:t>
      </w:r>
      <w:r>
        <w:rPr>
          <w:rtl w:val="true"/>
        </w:rPr>
        <w:t xml:space="preserve">. </w:t>
      </w:r>
      <w:r>
        <w:rPr>
          <w:rtl w:val="true"/>
        </w:rPr>
        <w:t>עד היום סובל מכאבים בגבו ומטופל תרופתית</w:t>
      </w:r>
      <w:r>
        <w:rPr>
          <w:rtl w:val="true"/>
        </w:rPr>
        <w:t xml:space="preserve">. </w:t>
      </w:r>
      <w:r>
        <w:rPr>
          <w:rtl w:val="true"/>
        </w:rPr>
        <w:t>בנוסף מטופל בטיפול תרופתי נפשי על רקע אבחונו כלוקה בהפרעה רגשית אורגנית שבאה לידי ביטוי בקושי לווסת דחפים תוקפניים</w:t>
      </w:r>
      <w:r>
        <w:rPr>
          <w:rtl w:val="true"/>
        </w:rPr>
        <w:t xml:space="preserve">. </w:t>
      </w:r>
      <w:r>
        <w:rPr>
          <w:rtl w:val="true"/>
        </w:rPr>
        <w:t xml:space="preserve">עברו הפלילי כולל הרשעה יחידה משנת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 נהיגה ללא רישיון</w:t>
      </w:r>
      <w:r>
        <w:rPr>
          <w:rtl w:val="true"/>
        </w:rPr>
        <w:t xml:space="preserve">. </w:t>
      </w:r>
      <w:r>
        <w:rPr>
          <w:rtl w:val="true"/>
        </w:rPr>
        <w:t>בעת הליך המעצר התרשם שירות המבחן שלאורך השנים התקשה הנאשם להתמודד באופן מקדם עם משברים הקשורים לשירותו הצבאי ולמות אמו והוא מקיים קשרים שוליים מתקופת שירותו הצבאי</w:t>
      </w:r>
      <w:r>
        <w:rPr>
          <w:rtl w:val="true"/>
        </w:rPr>
        <w:t xml:space="preserve">. </w:t>
      </w:r>
      <w:r>
        <w:rPr>
          <w:rtl w:val="true"/>
        </w:rPr>
        <w:t>שירות המבחן התרשם שהנאשם נקט בגישה קורבנית ומצמצמת סביב הנסיבות שהובילו למעצרו ונקט במגמת הסתרה בנוגע לחייו וסביב נסיבות מעצרו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ביחסו לעבירה מסר הנאשם כי נסע עם אשתו וילדיו לבית חברו המתגורר בשטחי הרשות הפלסטינית והם הותירו את הרכב פתוח בעת שיצאו ממנו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 הופתע מהמצאות הנשק ברכבו והוא משער שהנשק הושתל ברכבו על ידי מכרים שביקשו להתנכל לו בשל שירותו הצבאי בתפקיד קרבי</w:t>
      </w:r>
      <w:r>
        <w:rPr>
          <w:rtl w:val="true"/>
        </w:rPr>
        <w:t xml:space="preserve">. </w:t>
      </w:r>
      <w:r>
        <w:rPr>
          <w:rtl w:val="true"/>
        </w:rPr>
        <w:t>הנאשם סירב לשתף אודות קשריו החברתיים</w:t>
      </w:r>
      <w:r>
        <w:rPr>
          <w:rtl w:val="true"/>
        </w:rPr>
        <w:t xml:space="preserve">, </w:t>
      </w:r>
      <w:r>
        <w:rPr>
          <w:rtl w:val="true"/>
        </w:rPr>
        <w:t>ולא ביטא נכונות להשתלב בטיפול כיוון שלתפיסתו אינו אחראי לנשק שנמצא ברכבו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בסיכום התרשם שירות המבחן שלאורך השנים האחרונות הנאשם חווה משברים קשיים ביניהם מות אמו ופציעתו הקשה בתאונת דרכים בגינה סובל מקשיים פיזיים ורגשיים</w:t>
      </w:r>
      <w:r>
        <w:rPr>
          <w:rtl w:val="true"/>
        </w:rPr>
        <w:t xml:space="preserve">. </w:t>
      </w:r>
      <w:r>
        <w:rPr>
          <w:rtl w:val="true"/>
        </w:rPr>
        <w:t>למרות זאת הצליח לשמור על רצף תעסוקתי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שהנאשם קיים קשרים חברתיים עם גורמים שוליים המתגוררים בשטחי הרשות הפלסטינית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הנאשם סירב להרחיב על קשריו אלה והשלכותיהם על חייו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ביחסו לעבירה ביטא עמדה קורבנית וטען שלא היה מודע לקיומו של הנשק ברכבו ולאור עמדה זו הוא התקשה לקחת אחריות לביצוע העבירה</w:t>
      </w:r>
      <w:r>
        <w:rPr>
          <w:rtl w:val="true"/>
        </w:rPr>
        <w:t xml:space="preserve">. </w:t>
      </w:r>
      <w:r>
        <w:rPr>
          <w:rtl w:val="true"/>
        </w:rPr>
        <w:t>כגורמי סיכון להישנות ביצוע עבירות מנה שירות המבחן את הקשרים החברתיים שמנהל עם גורמים שוליים</w:t>
      </w:r>
      <w:r>
        <w:rPr>
          <w:rtl w:val="true"/>
        </w:rPr>
        <w:t xml:space="preserve">, </w:t>
      </w:r>
      <w:r>
        <w:rPr>
          <w:rtl w:val="true"/>
        </w:rPr>
        <w:t>היותו חסר כלים להתמודדות מול מצבי סיכון</w:t>
      </w:r>
      <w:r>
        <w:rPr>
          <w:rtl w:val="true"/>
        </w:rPr>
        <w:t xml:space="preserve">, </w:t>
      </w:r>
      <w:r>
        <w:rPr>
          <w:rtl w:val="true"/>
        </w:rPr>
        <w:t>קשייו בנטילת אחריות לביצוע העבירה</w:t>
      </w:r>
      <w:r>
        <w:rPr>
          <w:rtl w:val="true"/>
        </w:rPr>
        <w:t xml:space="preserve">, </w:t>
      </w:r>
      <w:r>
        <w:rPr>
          <w:rtl w:val="true"/>
        </w:rPr>
        <w:t>גישתו הקורבנית וקשייו להכיר במורכבות מצבו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תפקודו התקין והמסתגל לאורך השנים בתחום התעסוקה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לאור האמור שירות המבחן התרשם מקיומו של סיכון להישנות ביצוע עבירות דומות בעתיד ונמנע מהמלצה טיפולית בעניינו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בתסקיר המשלים ציין שירות המבחן כי </w:t>
      </w:r>
      <w:r>
        <w:rPr>
          <w:b/>
          <w:b/>
          <w:bCs/>
          <w:rtl w:val="true"/>
        </w:rPr>
        <w:t>התקיימה עם הנאשם פגישה נוספת במהלכה שינה את עמדתו וטען כי הוא מודה בביצוע העבירה ולוקח אחריות על מעשיו</w:t>
      </w:r>
      <w:r>
        <w:rPr>
          <w:rtl w:val="true"/>
        </w:rPr>
        <w:t xml:space="preserve">. </w:t>
      </w:r>
      <w:r>
        <w:rPr>
          <w:rtl w:val="true"/>
        </w:rPr>
        <w:t>עוד מסר כי לאורך השנים עסק בתחביב של קליעה בנשק</w:t>
      </w:r>
      <w:r>
        <w:rPr>
          <w:rtl w:val="true"/>
        </w:rPr>
        <w:t xml:space="preserve">, </w:t>
      </w:r>
      <w:r>
        <w:rPr>
          <w:rtl w:val="true"/>
        </w:rPr>
        <w:t>כאשר בשנות ילדותו גדל בבית בו נהגו להחזיק ברובה אוויר</w:t>
      </w:r>
      <w:r>
        <w:rPr>
          <w:rtl w:val="true"/>
        </w:rPr>
        <w:t xml:space="preserve">, </w:t>
      </w:r>
      <w:r>
        <w:rPr>
          <w:rtl w:val="true"/>
        </w:rPr>
        <w:t>עמו ביצע קליעה למטרה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לדבריו כאשר שהה בעיר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נין בבית חברו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קיבל מהחבר את הנשק במתנה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 נטל אותו כדי לממש את תחביבו בקליעה 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מסר שהוא חבר במועדון קליעה במסגרתו מחזיק בתג קולע ועוסק בתחביב זה באופן חוקי</w:t>
      </w:r>
      <w:r>
        <w:rPr>
          <w:rtl w:val="true"/>
        </w:rPr>
        <w:t xml:space="preserve">. </w:t>
      </w:r>
      <w:r>
        <w:rPr>
          <w:rtl w:val="true"/>
        </w:rPr>
        <w:t>הנאשם הוסיף כי לאחר ביצוע העבירה פנה באופן עצמאי לטיפול פסיכולוגי קצר מועד במסגרתו הבין שהוא יכול להמשיך לעסוק בתחביב זה בלי לעבור על החוק</w:t>
      </w:r>
      <w:r>
        <w:rPr>
          <w:rtl w:val="true"/>
        </w:rPr>
        <w:t xml:space="preserve">. </w:t>
      </w:r>
      <w:r>
        <w:rPr>
          <w:rtl w:val="true"/>
        </w:rPr>
        <w:t>כיום הוא שולל נזקקות טיפולית כלשהי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הבין את השינוי בעמדתו של הנאשם על רקע חששו מפני תוצאות ההליך המשפטי ושב ונמנע מהמלצה שיקומית בעניינו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אסופת מסמכים בנוגע לתאונת דרכים שעבר הנאשם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אישור זכאות לקצבת נכות מטעם הביטוח הלאומי מיום </w:t>
      </w:r>
      <w:r>
        <w:rPr>
          <w:lang w:eastAsia="he-IL"/>
        </w:rPr>
        <w:t>2.7.19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למשך שנה בשיעור של </w:t>
      </w:r>
      <w:r>
        <w:rPr>
          <w:lang w:eastAsia="he-IL"/>
        </w:rPr>
        <w:t>62%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סיכום ביקור במרפאת כאב מיום </w:t>
      </w:r>
      <w:r>
        <w:rPr>
          <w:lang w:eastAsia="he-IL"/>
        </w:rPr>
        <w:t>2.1.20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ממנו עולה שהנאשם היה מעורב בשנת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בתאונת דרכים עם פגיעה רב מערכתית והיה מורדם ומונשם למשך 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עבר תהליך שיקום במשך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נמצא במעקב פסיכיאטרי עקב בעיות הסתגלות ותסמונת פוסט טראומטית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מטופל תרופתית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המשך טיפול תרופתי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ייעוץ אורתופדי ונוירולוגי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בסיכום שהנאשם לא מגיב לטיפולים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ממשיך לסבול מירידה באיכות החיים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בתיאבון ובשינה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טיפול בקנאביס רפואי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מסיכום ביקור פסיכיאטרי מיום </w:t>
      </w:r>
      <w:r>
        <w:rPr>
          <w:lang w:eastAsia="he-IL"/>
        </w:rPr>
        <w:t>16.12.19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 כי נמצא במעקב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מגיע פעם במספר 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מתלונן על חוסר סבלנות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עצבנות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התפרצויות זעם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קושי לשאת רעש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סובל מכאבי ראש וגב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שולל אלימות פיזית כלפי 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הפרעות שינה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מצב רוח ירוד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הסתגרות וחוסר הנאה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הוחלט להוסיף לטיפול התרופתי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צילום של כרטיס חבר מועדון במועדון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איירסופט ספורט אתגרי</w:t>
      </w:r>
      <w:r>
        <w:rPr>
          <w:rtl w:val="true"/>
          <w:lang w:eastAsia="he-IL"/>
        </w:rPr>
        <w:t xml:space="preserve">".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מר וג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יה כיוף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דודו של הנאשם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ראש המכון הערבי לדמוקרטיה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 ראש מועצת עוספיה עד לפני כשנתיים והיה ראש הפורום של ראשי הרשויות הדרוזיות וכן איש חינוך ומפקח ארצי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מכיר את הנאשם מיום היוולדו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 של הנאשם הוא אימאם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המקרה הזה גרם לזעזוע במשפחה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הוא אדם עובד ואב לשני 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וצפוי לעבור לביתו החדש עם אשתו וילדיו בימים 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העד לקח על עצמו להחזיר את הנאשם למסלול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מבקר אותו מספר פעמים בשבוע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ולקח עליו אחריות אישית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רואים את המעשה של הנאשם בחומרה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מר כמאל חמדאן – איש דת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מתגורר בעוספיה וחבר המועצה הדתית הדרוזית העליונה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העד שירת בצבא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בשירות בתי הסוהר ובשירות מילואים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אינו מצליח להבין כיצד הנאשם ביצע את 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לאור הבית שבו הוא גדל וחונך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זהו מעשה לא מקובל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עבר הליך שיקום בבית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חזר למוטב והשתקם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שוחח עמו ושמע ממנו שהוא מביע חרטה על מעשיו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מר כיוף נזיה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אביו של הנאשם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האימאם של עוספיה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ואחראי על בית התפילה המרכזי במקום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עוסק כמגשר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מפייס בין משפחות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מאוד כועס על 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מאוכזב ממנו ומתבייש במעשיו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מאוד ממושמע 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מודה לבית המשפט על כך שהנאשם שוחרר ממעצר לבית 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 הייתה הזדמנות שנוצלה לשוחח עמו יומם ולילה כדי להחזירו למוטב למען משפחתו ולמען המדינה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הוא ההגנה על ביטחון הציבור</w:t>
      </w:r>
      <w:r>
        <w:rPr>
          <w:rtl w:val="true"/>
        </w:rPr>
        <w:t xml:space="preserve">. </w:t>
      </w:r>
      <w:r>
        <w:rPr>
          <w:rtl w:val="true"/>
        </w:rPr>
        <w:t>החזקת נשק חם מסוג רובה חצי אוטומטי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 xml:space="preserve">. </w:t>
      </w:r>
      <w:r>
        <w:rPr>
          <w:rtl w:val="true"/>
        </w:rPr>
        <w:t>הזמינות של כלי נשק בידי מי שאינם מורשים לכך</w:t>
      </w:r>
      <w:r>
        <w:rPr>
          <w:rtl w:val="true"/>
        </w:rPr>
        <w:t xml:space="preserve">, </w:t>
      </w:r>
      <w:r>
        <w:rPr>
          <w:rtl w:val="true"/>
        </w:rPr>
        <w:t>עלולה להביא לביצוע עבירות חמורות ולפגיעה בחיי אדם</w:t>
      </w:r>
      <w:r>
        <w:rPr>
          <w:rtl w:val="true"/>
        </w:rPr>
        <w:t xml:space="preserve">, </w:t>
      </w:r>
      <w:r>
        <w:rPr>
          <w:rtl w:val="true"/>
        </w:rPr>
        <w:t>אף אם בשוגג</w:t>
      </w:r>
      <w:r>
        <w:rPr>
          <w:rtl w:val="true"/>
        </w:rPr>
        <w:t xml:space="preserve">, </w:t>
      </w:r>
      <w:r>
        <w:rPr>
          <w:rtl w:val="true"/>
        </w:rPr>
        <w:t>שעה שהנשק מונח ברכב</w:t>
      </w:r>
      <w:r>
        <w:rPr>
          <w:rtl w:val="true"/>
        </w:rPr>
        <w:t xml:space="preserve">. </w:t>
      </w:r>
      <w:r>
        <w:rPr>
          <w:rtl w:val="true"/>
        </w:rPr>
        <w:t>פוטנציאל הנזק רב בעיקר כאשר הנשק ברכב בו נמצאו אשתו וילדיו</w:t>
      </w:r>
      <w:r>
        <w:rPr>
          <w:rtl w:val="true"/>
        </w:rPr>
        <w:t xml:space="preserve">. </w:t>
      </w:r>
      <w:r>
        <w:rPr>
          <w:rtl w:val="true"/>
        </w:rPr>
        <w:t>המאשימה עתרה למתחם עונש הנע בין שנתיים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תסקיר שירות המבחן הראשון שהוגש בעניינו של הנאשם מתאר קיום קשרים שוליים</w:t>
      </w:r>
      <w:r>
        <w:rPr>
          <w:rtl w:val="true"/>
        </w:rPr>
        <w:t xml:space="preserve">. </w:t>
      </w:r>
      <w:r>
        <w:rPr>
          <w:rtl w:val="true"/>
        </w:rPr>
        <w:t>ההתרשמות שהנאשם נוקט בגישה קורבנית ומצמצמת וכן בהסתרה בנוגע לחייו</w:t>
      </w:r>
      <w:r>
        <w:rPr>
          <w:rtl w:val="true"/>
        </w:rPr>
        <w:t xml:space="preserve">. </w:t>
      </w:r>
      <w:r>
        <w:rPr>
          <w:rtl w:val="true"/>
        </w:rPr>
        <w:t>בהתייחסותו לעבירה מסר שנסע לשטחים</w:t>
      </w:r>
      <w:r>
        <w:rPr>
          <w:rtl w:val="true"/>
        </w:rPr>
        <w:t xml:space="preserve">, </w:t>
      </w:r>
      <w:r>
        <w:rPr>
          <w:rtl w:val="true"/>
        </w:rPr>
        <w:t>הרכב נותר פתוח באזור ג</w:t>
      </w:r>
      <w:r>
        <w:rPr>
          <w:rtl w:val="true"/>
        </w:rPr>
        <w:t>'</w:t>
      </w:r>
      <w:r>
        <w:rPr>
          <w:rtl w:val="true"/>
        </w:rPr>
        <w:t>נין ומישהו שרוצה להתנכל לו שם לו את הרובה ברכב והוא לא אחראי לרובה שנתפס ברכבו</w:t>
      </w:r>
      <w:r>
        <w:rPr>
          <w:rtl w:val="true"/>
        </w:rPr>
        <w:t xml:space="preserve">. </w:t>
      </w:r>
      <w:r>
        <w:rPr>
          <w:rtl w:val="true"/>
        </w:rPr>
        <w:t>שירות המבחן התרשם מאדם שחווה משברים רגשיים ופיזיים בעקבות אובדן אמו</w:t>
      </w:r>
      <w:r>
        <w:rPr>
          <w:rtl w:val="true"/>
        </w:rPr>
        <w:t xml:space="preserve">, </w:t>
      </w:r>
      <w:r>
        <w:rPr>
          <w:rtl w:val="true"/>
        </w:rPr>
        <w:t>ולמרות זאת שמר על יציבות תעסוקתית ולהערכתם קיים סיכון לביצוע עבירות בעתיד</w:t>
      </w:r>
      <w:r>
        <w:rPr>
          <w:rtl w:val="true"/>
        </w:rPr>
        <w:t xml:space="preserve">. </w:t>
      </w:r>
      <w:r>
        <w:rPr>
          <w:rtl w:val="true"/>
        </w:rPr>
        <w:t>היות שהנאשם שלל כל צורך טיפולי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שיקומית</w:t>
      </w:r>
      <w:r>
        <w:rPr>
          <w:rtl w:val="true"/>
        </w:rPr>
        <w:t xml:space="preserve">. </w:t>
      </w:r>
      <w:r>
        <w:rPr>
          <w:rtl w:val="true"/>
        </w:rPr>
        <w:t>לבקשת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התבקש והתקבל תסקיר משלים שעניינו יחסו של הנאשם לעבירה</w:t>
      </w:r>
      <w:r>
        <w:rPr>
          <w:rtl w:val="true"/>
        </w:rPr>
        <w:t xml:space="preserve">. </w:t>
      </w:r>
      <w:r>
        <w:rPr>
          <w:rtl w:val="true"/>
        </w:rPr>
        <w:t>אכן הנאשם שינה את עמדתו ביחס לעבירה</w:t>
      </w:r>
      <w:r>
        <w:rPr>
          <w:rtl w:val="true"/>
        </w:rPr>
        <w:t xml:space="preserve">, </w:t>
      </w:r>
      <w:r>
        <w:rPr>
          <w:rtl w:val="true"/>
        </w:rPr>
        <w:t>הפעם הוא הודה</w:t>
      </w:r>
      <w:r>
        <w:rPr>
          <w:rtl w:val="true"/>
        </w:rPr>
        <w:t xml:space="preserve">, </w:t>
      </w:r>
      <w:r>
        <w:rPr>
          <w:rtl w:val="true"/>
        </w:rPr>
        <w:t>וסיפר שהחזיק בנשק למטרת תחביב קליעה בנשק</w:t>
      </w:r>
      <w:r>
        <w:rPr>
          <w:rtl w:val="true"/>
        </w:rPr>
        <w:t xml:space="preserve">. </w:t>
      </w:r>
      <w:r>
        <w:rPr>
          <w:rtl w:val="true"/>
        </w:rPr>
        <w:t>סיפר ששהה אצל חבר ממנו קיבל את הנשק במתנה ולקח אותו כדי לממש את תחביבו</w:t>
      </w:r>
      <w:r>
        <w:rPr>
          <w:rtl w:val="true"/>
        </w:rPr>
        <w:t xml:space="preserve">. </w:t>
      </w:r>
      <w:r>
        <w:rPr>
          <w:rtl w:val="true"/>
        </w:rPr>
        <w:t>מסר שעוסק בתחביב זה באופן חוקי</w:t>
      </w:r>
      <w:r>
        <w:rPr>
          <w:rtl w:val="true"/>
        </w:rPr>
        <w:t xml:space="preserve">, </w:t>
      </w:r>
      <w:r>
        <w:rPr>
          <w:rtl w:val="true"/>
        </w:rPr>
        <w:t>אך אין ברשותו רישיון לנשק</w:t>
      </w:r>
      <w:r>
        <w:rPr>
          <w:rtl w:val="true"/>
        </w:rPr>
        <w:t xml:space="preserve">. </w:t>
      </w:r>
      <w:r>
        <w:rPr>
          <w:rtl w:val="true"/>
        </w:rPr>
        <w:t>ציין שפנה לטיפול פסיכולוגי קצר מועד</w:t>
      </w:r>
      <w:r>
        <w:rPr>
          <w:rtl w:val="true"/>
        </w:rPr>
        <w:t xml:space="preserve">. </w:t>
      </w:r>
      <w:r>
        <w:rPr>
          <w:rtl w:val="true"/>
        </w:rPr>
        <w:t>כיום הוא אינו מטופל ולא רואה צורך בטיפול</w:t>
      </w:r>
      <w:r>
        <w:rPr>
          <w:rtl w:val="true"/>
        </w:rPr>
        <w:t xml:space="preserve">. </w:t>
      </w:r>
      <w:r>
        <w:rPr>
          <w:rtl w:val="true"/>
        </w:rPr>
        <w:t>שירות המבחן שב ונמנע מהמלצה טיפולית</w:t>
      </w:r>
      <w:r>
        <w:rPr>
          <w:rtl w:val="true"/>
        </w:rPr>
        <w:t xml:space="preserve">. </w:t>
      </w:r>
      <w:r>
        <w:rPr>
          <w:rtl w:val="true"/>
        </w:rPr>
        <w:t>אף שבני משפחתו ונכבדי העדה שהעידו מעוררים אמפתיה</w:t>
      </w:r>
      <w:r>
        <w:rPr>
          <w:rtl w:val="true"/>
        </w:rPr>
        <w:t xml:space="preserve">, </w:t>
      </w:r>
      <w:r>
        <w:rPr>
          <w:rtl w:val="true"/>
        </w:rPr>
        <w:t>לא הם עומדים כיום לדין</w:t>
      </w:r>
      <w:r>
        <w:rPr>
          <w:rtl w:val="true"/>
        </w:rPr>
        <w:t xml:space="preserve">. </w:t>
      </w:r>
      <w:r>
        <w:rPr>
          <w:rtl w:val="true"/>
        </w:rPr>
        <w:t xml:space="preserve">מול שירות המבחן אין לקיחת אחריות ונראה שהוא </w:t>
      </w:r>
      <w:r>
        <w:rPr>
          <w:rtl w:val="true"/>
        </w:rPr>
        <w:t>"</w:t>
      </w:r>
      <w:r>
        <w:rPr>
          <w:rtl w:val="true"/>
        </w:rPr>
        <w:t>מספר סיפורים</w:t>
      </w:r>
      <w:r>
        <w:rPr>
          <w:rtl w:val="true"/>
        </w:rPr>
        <w:t xml:space="preserve">". </w:t>
      </w:r>
      <w:r>
        <w:rPr>
          <w:rtl w:val="true"/>
        </w:rPr>
        <w:t>לנאשם עבר פלילי לא מכביד וישן בעבירת נהיגה ללא רישיון</w:t>
      </w:r>
      <w:r>
        <w:rPr>
          <w:rtl w:val="true"/>
        </w:rPr>
        <w:t xml:space="preserve">. </w:t>
      </w:r>
      <w:r>
        <w:rPr>
          <w:rtl w:val="true"/>
        </w:rPr>
        <w:t>הנאשם לא עבר שום הליך שיקום ואינו מעוניין בשיקום אמיתי</w:t>
      </w:r>
      <w:r>
        <w:rPr>
          <w:rtl w:val="true"/>
        </w:rPr>
        <w:t xml:space="preserve">, </w:t>
      </w:r>
      <w:r>
        <w:rPr>
          <w:rtl w:val="true"/>
        </w:rPr>
        <w:t>לא לקח אחריות של ממש על העבירה ולכן אין מקום לחרוג ממתחם העונש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להשית על הנאשם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תמי אולמן</w:t>
      </w:r>
      <w:r>
        <w:rPr>
          <w:rtl w:val="true"/>
        </w:rPr>
        <w:t xml:space="preserve">, </w:t>
      </w:r>
      <w:r>
        <w:rPr>
          <w:rtl w:val="true"/>
        </w:rPr>
        <w:t>יש להתחשב בהודאת הנאשם</w:t>
      </w:r>
      <w:r>
        <w:rPr>
          <w:rtl w:val="true"/>
        </w:rPr>
        <w:t xml:space="preserve">, </w:t>
      </w:r>
      <w:r>
        <w:rPr>
          <w:rtl w:val="true"/>
        </w:rPr>
        <w:t>בחרטה הכנה ובחיסכון של זמן שיפוטי יקר</w:t>
      </w:r>
      <w:r>
        <w:rPr>
          <w:rtl w:val="true"/>
        </w:rPr>
        <w:t xml:space="preserve">. </w:t>
      </w:r>
      <w:r>
        <w:rPr>
          <w:rtl w:val="true"/>
        </w:rPr>
        <w:t>הנאשם שהה מעל לחודש וחצי במעצר</w:t>
      </w:r>
      <w:r>
        <w:rPr>
          <w:rtl w:val="true"/>
        </w:rPr>
        <w:t xml:space="preserve">, </w:t>
      </w:r>
      <w:r>
        <w:rPr>
          <w:rtl w:val="true"/>
        </w:rPr>
        <w:t>ובעת המעצר הוא הבין שזה איננו מקומו והבין את הטעות החמורה שעשה</w:t>
      </w:r>
      <w:r>
        <w:rPr>
          <w:rtl w:val="true"/>
        </w:rPr>
        <w:t xml:space="preserve">. </w:t>
      </w:r>
      <w:r>
        <w:rPr>
          <w:rtl w:val="true"/>
        </w:rPr>
        <w:t>מדובר בתקופה קצרה ביותר של החזקת הנשק – רק באותו היום</w:t>
      </w:r>
      <w:r>
        <w:rPr>
          <w:rtl w:val="true"/>
        </w:rPr>
        <w:t xml:space="preserve">. </w:t>
      </w:r>
      <w:r>
        <w:rPr>
          <w:rtl w:val="true"/>
        </w:rPr>
        <w:t>מאז ששוחרר למעצר בית</w:t>
      </w:r>
      <w:r>
        <w:rPr>
          <w:rtl w:val="true"/>
        </w:rPr>
        <w:t xml:space="preserve">, </w:t>
      </w:r>
      <w:r>
        <w:rPr>
          <w:rtl w:val="true"/>
        </w:rPr>
        <w:t>הנאשם לא הפר את התנאים ולא חזר לסורו</w:t>
      </w:r>
      <w:r>
        <w:rPr>
          <w:rtl w:val="true"/>
        </w:rPr>
        <w:t xml:space="preserve">. </w:t>
      </w:r>
      <w:r>
        <w:rPr>
          <w:rtl w:val="true"/>
        </w:rPr>
        <w:t>יש להתייחס לנאשם כמי שאין לו עבר פלילי וזו הפעם הראשונה שבה הוא עומד לדין בעבירה כה חמורה</w:t>
      </w:r>
      <w:r>
        <w:rPr>
          <w:rtl w:val="true"/>
        </w:rPr>
        <w:t xml:space="preserve">. </w:t>
      </w:r>
      <w:r>
        <w:rPr>
          <w:rtl w:val="true"/>
        </w:rPr>
        <w:t>הנאשם שירת שירות צבאי מלא</w:t>
      </w:r>
      <w:r>
        <w:rPr>
          <w:rtl w:val="true"/>
        </w:rPr>
        <w:t xml:space="preserve">, </w:t>
      </w:r>
      <w:r>
        <w:rPr>
          <w:rtl w:val="true"/>
        </w:rPr>
        <w:t xml:space="preserve">לאחר שסיים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ובמסגרת שירותו הצבאי נחשב כאחד הצלפים הטובים ביותר בישראל</w:t>
      </w:r>
      <w:r>
        <w:rPr>
          <w:rtl w:val="true"/>
        </w:rPr>
        <w:t xml:space="preserve">. </w:t>
      </w:r>
      <w:r>
        <w:rPr>
          <w:rtl w:val="true"/>
        </w:rPr>
        <w:t>הוא שירת ביחידת מג</w:t>
      </w:r>
      <w:r>
        <w:rPr>
          <w:rtl w:val="true"/>
        </w:rPr>
        <w:t>"</w:t>
      </w:r>
      <w:r>
        <w:rPr>
          <w:rtl w:val="true"/>
        </w:rPr>
        <w:t>ב ביהודה ושומרון וחווה חוויות קשות</w:t>
      </w:r>
      <w:r>
        <w:rPr>
          <w:rtl w:val="true"/>
        </w:rPr>
        <w:t xml:space="preserve">. </w:t>
      </w:r>
      <w:r>
        <w:rPr>
          <w:rtl w:val="true"/>
        </w:rPr>
        <w:t>העובדה שחווה אובדן של חבר קרוב בזמן שירותו השפיעה עליו מאוד</w:t>
      </w:r>
      <w:r>
        <w:rPr>
          <w:rtl w:val="true"/>
        </w:rPr>
        <w:t xml:space="preserve">. </w:t>
      </w:r>
      <w:r>
        <w:rPr>
          <w:rtl w:val="true"/>
        </w:rPr>
        <w:t>הנאשם גדל בבית דתי</w:t>
      </w:r>
      <w:r>
        <w:rPr>
          <w:rtl w:val="true"/>
        </w:rPr>
        <w:t xml:space="preserve">, </w:t>
      </w:r>
      <w:r>
        <w:rPr>
          <w:rtl w:val="true"/>
        </w:rPr>
        <w:t>והוא לא מצא את מקומו במסגרת המשפחתית בשל הנושא הדתי</w:t>
      </w:r>
      <w:r>
        <w:rPr>
          <w:rtl w:val="true"/>
        </w:rPr>
        <w:t xml:space="preserve">. </w:t>
      </w:r>
      <w:r>
        <w:rPr>
          <w:rtl w:val="true"/>
        </w:rPr>
        <w:t>אמו נפטרה לפני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היא סבלה קשות טרם מותה והנאשם שימש לה כעזר באותה התקופה</w:t>
      </w:r>
      <w:r>
        <w:rPr>
          <w:rtl w:val="true"/>
        </w:rPr>
        <w:t xml:space="preserve">. </w:t>
      </w:r>
      <w:r>
        <w:rPr>
          <w:rtl w:val="true"/>
        </w:rPr>
        <w:t xml:space="preserve">הנאשם עבר תאונת דרכים קשה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והיה חסר הכרה לתקופה ארוכה בת חודש וחצי</w:t>
      </w:r>
      <w:r>
        <w:rPr>
          <w:rtl w:val="true"/>
        </w:rPr>
        <w:t xml:space="preserve">, </w:t>
      </w:r>
      <w:r>
        <w:rPr>
          <w:rtl w:val="true"/>
        </w:rPr>
        <w:t>ולאחר מכן היה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בבית לוינשטיין</w:t>
      </w:r>
      <w:r>
        <w:rPr>
          <w:rtl w:val="true"/>
        </w:rPr>
        <w:t xml:space="preserve">. </w:t>
      </w:r>
      <w:r>
        <w:rPr>
          <w:rtl w:val="true"/>
        </w:rPr>
        <w:t>מאז התאונה הוא סובל מכאבים</w:t>
      </w:r>
      <w:r>
        <w:rPr>
          <w:rtl w:val="true"/>
        </w:rPr>
        <w:t xml:space="preserve">, </w:t>
      </w:r>
      <w:r>
        <w:rPr>
          <w:rtl w:val="true"/>
        </w:rPr>
        <w:t>מטופל בתרופות</w:t>
      </w:r>
      <w:r>
        <w:rPr>
          <w:rtl w:val="true"/>
        </w:rPr>
        <w:t xml:space="preserve">, </w:t>
      </w:r>
      <w:r>
        <w:rPr>
          <w:rtl w:val="true"/>
        </w:rPr>
        <w:t>סבל מפרכוסים וכאבי ראש עזים</w:t>
      </w:r>
      <w:r>
        <w:rPr>
          <w:rtl w:val="true"/>
        </w:rPr>
        <w:t xml:space="preserve">, </w:t>
      </w:r>
      <w:r>
        <w:rPr>
          <w:rtl w:val="true"/>
        </w:rPr>
        <w:t>כך שחייו של הנאשם קשים מאוד</w:t>
      </w:r>
      <w:r>
        <w:rPr>
          <w:rtl w:val="true"/>
        </w:rPr>
        <w:t xml:space="preserve">. </w:t>
      </w:r>
      <w:r>
        <w:rPr>
          <w:rtl w:val="true"/>
        </w:rPr>
        <w:t>הנאשם נשוי ואב לילדים</w:t>
      </w:r>
      <w:r>
        <w:rPr>
          <w:rtl w:val="true"/>
        </w:rPr>
        <w:t xml:space="preserve">. </w:t>
      </w:r>
      <w:r>
        <w:rPr>
          <w:rtl w:val="true"/>
        </w:rPr>
        <w:t>עדי ההגנה דברו בשבחו של הנאשם ותארו שלקחו אותו תחת חסותם</w:t>
      </w:r>
      <w:r>
        <w:rPr>
          <w:rtl w:val="true"/>
        </w:rPr>
        <w:t xml:space="preserve">, </w:t>
      </w:r>
      <w:r>
        <w:rPr>
          <w:rtl w:val="true"/>
        </w:rPr>
        <w:t>הם משוחחים איתו</w:t>
      </w:r>
      <w:r>
        <w:rPr>
          <w:rtl w:val="true"/>
        </w:rPr>
        <w:t xml:space="preserve">, </w:t>
      </w:r>
      <w:r>
        <w:rPr>
          <w:rtl w:val="true"/>
        </w:rPr>
        <w:t>ומנסים לגרום לך שלא תהיה חזרה על המעשה</w:t>
      </w:r>
      <w:r>
        <w:rPr>
          <w:rtl w:val="true"/>
        </w:rPr>
        <w:t xml:space="preserve">. </w:t>
      </w:r>
      <w:r>
        <w:rPr>
          <w:rtl w:val="true"/>
        </w:rPr>
        <w:t>מאז ביצוע העבירה חלפה תקופה ארוכה</w:t>
      </w:r>
      <w:r>
        <w:rPr>
          <w:rtl w:val="true"/>
        </w:rPr>
        <w:t xml:space="preserve">, </w:t>
      </w:r>
      <w:r>
        <w:rPr>
          <w:rtl w:val="true"/>
        </w:rPr>
        <w:t>והנאשם חשב בכל יום על העבירה</w:t>
      </w:r>
      <w:r>
        <w:rPr>
          <w:rtl w:val="true"/>
        </w:rPr>
        <w:t xml:space="preserve">. </w:t>
      </w:r>
      <w:r>
        <w:rPr>
          <w:rtl w:val="true"/>
        </w:rPr>
        <w:t>הנאשם חבר במועדון קליעה</w:t>
      </w:r>
      <w:r>
        <w:rPr>
          <w:rtl w:val="true"/>
        </w:rPr>
        <w:t xml:space="preserve">, </w:t>
      </w:r>
      <w:r>
        <w:rPr>
          <w:rtl w:val="true"/>
        </w:rPr>
        <w:t>יש לו כרטיס מועדון ושם הוא יורה באופן חוקי</w:t>
      </w:r>
      <w:r>
        <w:rPr>
          <w:rtl w:val="true"/>
        </w:rPr>
        <w:t xml:space="preserve">. </w:t>
      </w:r>
      <w:r>
        <w:rPr>
          <w:rtl w:val="true"/>
        </w:rPr>
        <w:t>ההגנה עתרה להשית על הנאשם עונש של מאסר לריצוי בעבודות שירות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שהוא עובד כחשמלאי</w:t>
      </w:r>
      <w:r>
        <w:rPr>
          <w:rtl w:val="true"/>
        </w:rPr>
        <w:t xml:space="preserve">. </w:t>
      </w:r>
      <w:r>
        <w:rPr>
          <w:rtl w:val="true"/>
        </w:rPr>
        <w:t>הודה בביצוע העבירה ומביע חרטה גדולה וכנה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הוא חבר במועדון </w:t>
      </w:r>
      <w:r>
        <w:rPr>
          <w:rtl w:val="true"/>
        </w:rPr>
        <w:t>"</w:t>
      </w:r>
      <w:r>
        <w:rPr>
          <w:rtl w:val="true"/>
        </w:rPr>
        <w:t>איירסופט</w:t>
      </w:r>
      <w:r>
        <w:rPr>
          <w:rtl w:val="true"/>
        </w:rPr>
        <w:t xml:space="preserve">" </w:t>
      </w:r>
      <w:r>
        <w:rPr>
          <w:rtl w:val="true"/>
        </w:rPr>
        <w:t>בטבריה מזה מספר שנים</w:t>
      </w:r>
      <w:r>
        <w:rPr>
          <w:rtl w:val="true"/>
        </w:rPr>
        <w:t xml:space="preserve">. </w:t>
      </w:r>
      <w:r>
        <w:rPr>
          <w:rtl w:val="true"/>
        </w:rPr>
        <w:t>מאוד מתחרט ומבטיח שזו העבירה הראשונה והאחרונה שמבצע</w:t>
      </w:r>
      <w:r>
        <w:rPr>
          <w:rtl w:val="true"/>
        </w:rPr>
        <w:t xml:space="preserve">. </w:t>
      </w:r>
      <w:r>
        <w:rPr>
          <w:rtl w:val="true"/>
        </w:rPr>
        <w:t>קיבל אין סוף אזהרות מהוריו</w:t>
      </w:r>
      <w:r>
        <w:rPr>
          <w:rtl w:val="true"/>
        </w:rPr>
        <w:t xml:space="preserve">. </w:t>
      </w:r>
      <w:r>
        <w:rPr>
          <w:rtl w:val="true"/>
        </w:rPr>
        <w:t>חי היום עם משפחתו</w:t>
      </w:r>
      <w:r>
        <w:rPr>
          <w:rtl w:val="true"/>
        </w:rPr>
        <w:t xml:space="preserve">, </w:t>
      </w:r>
      <w:r>
        <w:rPr>
          <w:rtl w:val="true"/>
        </w:rPr>
        <w:t>מכבד אותם ורוצה לשמור על ילדיו</w:t>
      </w:r>
      <w:r>
        <w:rPr>
          <w:rtl w:val="true"/>
        </w:rPr>
        <w:t xml:space="preserve">. </w:t>
      </w:r>
      <w:r>
        <w:rPr>
          <w:rtl w:val="true"/>
        </w:rPr>
        <w:t>אינו רוצה שהם ירגישו שפגע בהם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החזקת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רובה חצי אוטומטי</w:t>
      </w:r>
      <w:r>
        <w:rPr>
          <w:rtl w:val="true"/>
        </w:rPr>
        <w:t xml:space="preserve">, </w:t>
      </w:r>
      <w:r>
        <w:rPr>
          <w:rtl w:val="true"/>
        </w:rPr>
        <w:t>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עבירות הנשק אף הוכרו בפסיקה כ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באופן אשר מצדיק החמרת ענישה בהן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7703/19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6.8.20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14.2.21</w:t>
      </w:r>
      <w:r>
        <w:rPr>
          <w:rtl w:val="true"/>
        </w:rPr>
        <w:t>]).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בהקשר זה יש לתת את הדעת לכך שהנאשם ביצע 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שהעונש המרבי שנקבע לצידה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לעומת עבירה של נשיאת נשק שהעונש המרבי לצידה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 לתת את הדעת לכך שעסקינן בנשק מסוג רובה חצי אוטומטי</w:t>
      </w:r>
      <w:r>
        <w:rPr>
          <w:rtl w:val="true"/>
        </w:rPr>
        <w:t xml:space="preserve">, </w:t>
      </w:r>
      <w:r>
        <w:rPr>
          <w:rtl w:val="true"/>
        </w:rPr>
        <w:t>אשר החזקתו חמורה מהחזקת אקדח</w:t>
      </w:r>
      <w:r>
        <w:rPr>
          <w:rtl w:val="true"/>
        </w:rPr>
        <w:t xml:space="preserve">, </w:t>
      </w:r>
      <w:r>
        <w:rPr>
          <w:rtl w:val="true"/>
        </w:rPr>
        <w:t>וזאת בשל פוטנציאל הקטילה הרב יותר שלו</w:t>
      </w:r>
      <w:r>
        <w:rPr>
          <w:rtl w:val="true"/>
        </w:rPr>
        <w:t xml:space="preserve">. </w:t>
      </w:r>
      <w:r>
        <w:rPr>
          <w:rtl w:val="true"/>
        </w:rPr>
        <w:t>קיימת חומרה נוספת בכך שהנאשם החזיק את הנשק מוסתר ברכבו בעת שנסע ברכב עם בני משפחתו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rStyle w:val="default"/>
        </w:rPr>
      </w:pPr>
      <w:r>
        <w:rPr>
          <w:rStyle w:val="default"/>
          <w:rtl w:val="true"/>
        </w:rPr>
        <w:t>הנחיית פרקליט המדינה מס</w:t>
      </w:r>
      <w:r>
        <w:rPr>
          <w:rStyle w:val="default"/>
          <w:rtl w:val="true"/>
        </w:rPr>
        <w:t xml:space="preserve">' </w:t>
      </w:r>
      <w:r>
        <w:rPr>
          <w:rStyle w:val="default"/>
        </w:rPr>
        <w:t>9.16</w:t>
      </w:r>
      <w:r>
        <w:rPr>
          <w:rStyle w:val="default"/>
          <w:rtl w:val="true"/>
        </w:rPr>
        <w:t xml:space="preserve"> "</w:t>
      </w:r>
      <w:r>
        <w:rPr>
          <w:rStyle w:val="default"/>
          <w:b/>
          <w:b/>
          <w:bCs/>
          <w:rtl w:val="true"/>
        </w:rPr>
        <w:t>מדיניות ענישה בעבירות נשק ומטעני חבלה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 xml:space="preserve">מיום </w:t>
      </w:r>
      <w:r>
        <w:rPr>
          <w:rStyle w:val="default"/>
        </w:rPr>
        <w:t>7.8.16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מתווה את מדיניות הפרקליטות לעתור בעבירות של נשיאת או החזקת נשק ל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מתחם מוצא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בהתאם לסוג 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בעבירת החזקת נשק מסוג רובה או תת מקלע מתחם העונש המוצע הוא בין שנתיים ל</w:t>
      </w:r>
      <w:r>
        <w:rPr>
          <w:rStyle w:val="default"/>
          <w:rtl w:val="true"/>
        </w:rPr>
        <w:t>-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הדבר כי הנחייה זו אינה מחייבת את בית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ואולם יש בהנחיה כדי להצביע על מדרג הענישה הראוי בין סוגי נשק שונים ועבירות הנשק השונות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שהנאשם נסע ברכבו עם אשתו וילדיו והחזיק ברכב רובה חצי אוטומטי עטוף בבד מתחת למושב האחורי ברכב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עת שב לדבריו מביקור בעיר ג</w:t>
      </w:r>
      <w:r>
        <w:rPr>
          <w:rStyle w:val="default"/>
          <w:rtl w:val="true"/>
        </w:rPr>
        <w:t>'</w:t>
      </w:r>
      <w:r>
        <w:rPr>
          <w:rStyle w:val="default"/>
          <w:rtl w:val="true"/>
        </w:rPr>
        <w:t>נין שבשטחי הרשות הפלסטינית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נעצר במחסום תאנים סמוך לעיר טייבה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שצפוי להיגרם בעבירות נשק בכלל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בשל החשש מפני הגעת הנשק לידי אחרים שעלולים 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יש לתת את הדעת לכך שהנשק הוחזק ללא מחסנית וכדורים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 שלא היה זמין לשימוש מיידי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 מוחשי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קשורות בקשריו השוליים ולדבריו בשל רצונו לעסוק בתחביב קליעה בנשק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בבחינת מדיניות הענישה הנוהגת יש לתת את הדעת למגמת ההחמרה בענישה הקיימת</w:t>
      </w:r>
      <w:r>
        <w:rPr>
          <w:rtl w:val="true"/>
        </w:rPr>
        <w:t xml:space="preserve"> בפסיקת בית המשפט העליון</w:t>
      </w:r>
      <w:r>
        <w:rPr>
          <w:rtl w:val="true"/>
        </w:rPr>
        <w:t xml:space="preserve">. </w:t>
      </w:r>
      <w:r>
        <w:rPr>
          <w:rtl w:val="true"/>
        </w:rPr>
        <w:t>לעניין זה ראו את דברי כב</w:t>
      </w:r>
      <w:r>
        <w:rPr>
          <w:rtl w:val="true"/>
        </w:rPr>
        <w:t xml:space="preserve">' </w:t>
      </w:r>
      <w:r>
        <w:rPr>
          <w:rtl w:val="true"/>
        </w:rPr>
        <w:t>השופט נ</w:t>
      </w:r>
      <w:r>
        <w:rPr>
          <w:rtl w:val="true"/>
        </w:rPr>
        <w:t xml:space="preserve">' </w:t>
      </w:r>
      <w:r>
        <w:rPr>
          <w:rtl w:val="true"/>
        </w:rPr>
        <w:t>סולברג מהעת האחרונה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</w:t>
      </w:r>
      <w:r>
        <w:rPr>
          <w:rtl w:val="true"/>
        </w:rPr>
        <w:t>):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133" w:end="709"/>
        <w:jc w:val="both"/>
        <w:rPr/>
      </w:pPr>
      <w:r>
        <w:rPr>
          <w:rtl w:val="true"/>
        </w:rPr>
        <w:t>"</w:t>
      </w:r>
      <w:r>
        <w:rPr>
          <w:rtl w:val="true"/>
        </w:rPr>
        <w:t>עבירות הנשק – חמורות מנשוא</w:t>
      </w:r>
      <w:r>
        <w:rPr>
          <w:rtl w:val="true"/>
        </w:rPr>
        <w:t xml:space="preserve">; </w:t>
      </w:r>
      <w:r>
        <w:rPr>
          <w:rtl w:val="true"/>
        </w:rPr>
        <w:t>אחריתן – מי ישורנה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כך נקבע לא אחת</w:t>
      </w:r>
      <w:r>
        <w:rPr>
          <w:rtl w:val="true"/>
        </w:rPr>
        <w:t xml:space="preserve">, </w:t>
      </w:r>
      <w:r>
        <w:rPr>
          <w:rtl w:val="true"/>
        </w:rPr>
        <w:t>גם אם היתה זו פעם ראשונה לנאשם שמעד בעבירות הקשורות בנשק</w:t>
      </w:r>
      <w:r>
        <w:rPr>
          <w:rtl w:val="true"/>
        </w:rPr>
        <w:t xml:space="preserve">, </w:t>
      </w:r>
      <w:r>
        <w:rPr>
          <w:rtl w:val="true"/>
        </w:rPr>
        <w:t>לא נחמול ולא נכסה עליו</w:t>
      </w:r>
      <w:r>
        <w:rPr>
          <w:rtl w:val="true"/>
        </w:rPr>
        <w:t xml:space="preserve">; </w:t>
      </w:r>
      <w:r>
        <w:rPr>
          <w:rtl w:val="true"/>
        </w:rPr>
        <w:t>נשלחהו למאסר מאחורי סורג ובריח</w:t>
      </w:r>
      <w:r>
        <w:rPr>
          <w:rtl w:val="true"/>
        </w:rPr>
        <w:t xml:space="preserve">... </w:t>
      </w:r>
      <w:r>
        <w:rPr>
          <w:rtl w:val="true"/>
        </w:rPr>
        <w:t>עבירות הנשק</w:t>
      </w:r>
      <w:r>
        <w:rPr>
          <w:rtl w:val="true"/>
        </w:rPr>
        <w:t xml:space="preserve">, </w:t>
      </w:r>
      <w:r>
        <w:rPr>
          <w:rtl w:val="true"/>
        </w:rPr>
        <w:t>הריהן מכת מדינה</w:t>
      </w:r>
      <w:r>
        <w:rPr>
          <w:rtl w:val="true"/>
        </w:rPr>
        <w:t xml:space="preserve">. </w:t>
      </w:r>
      <w:r>
        <w:rPr>
          <w:rtl w:val="true"/>
        </w:rPr>
        <w:t>אזרחים רבים מקפחים את חייהם מידי שנה בעטיין</w:t>
      </w:r>
      <w:r>
        <w:rPr>
          <w:rtl w:val="true"/>
        </w:rPr>
        <w:t xml:space="preserve">, </w:t>
      </w:r>
      <w:r>
        <w:rPr>
          <w:rtl w:val="true"/>
        </w:rPr>
        <w:t>ותחושת הביטחון הכללית של הציבור – נפגעת</w:t>
      </w:r>
      <w:r>
        <w:rPr>
          <w:rtl w:val="true"/>
        </w:rPr>
        <w:t xml:space="preserve">. </w:t>
      </w:r>
      <w:r>
        <w:rPr>
          <w:rtl w:val="true"/>
        </w:rPr>
        <w:t>מערכת המשפט</w:t>
      </w:r>
      <w:r>
        <w:rPr>
          <w:rtl w:val="true"/>
        </w:rPr>
        <w:t xml:space="preserve">, </w:t>
      </w:r>
      <w:r>
        <w:rPr>
          <w:rtl w:val="true"/>
        </w:rPr>
        <w:t>נדרשת גם היא ליתן את חלקה במלחמת החורמה שמנהלת מדינת ישראל נגד מבצעי העבירות הללו</w:t>
      </w:r>
      <w:r>
        <w:rPr>
          <w:rtl w:val="true"/>
        </w:rPr>
        <w:t xml:space="preserve">, </w:t>
      </w:r>
      <w:r>
        <w:rPr>
          <w:rtl w:val="true"/>
        </w:rPr>
        <w:t>ולפיכך מדיניות הענישה מצויה במגמת החמרה</w:t>
      </w:r>
      <w:r>
        <w:rPr>
          <w:rtl w:val="true"/>
        </w:rPr>
        <w:t>".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lang w:eastAsia="he-IL"/>
        </w:rPr>
      </w:pPr>
      <w:r>
        <w:rPr>
          <w:rtl w:val="true"/>
          <w:lang w:eastAsia="he-IL"/>
        </w:rPr>
        <w:t>בעניין זה ראו בנוסף</w:t>
      </w:r>
      <w:r>
        <w:rPr>
          <w:rtl w:val="true"/>
          <w:lang w:eastAsia="he-IL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3793/20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מורייחי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23.11.20</w:t>
      </w:r>
      <w:r>
        <w:rPr>
          <w:rtl w:val="true"/>
          <w:lang w:eastAsia="he-IL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5613/20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25.8.20</w:t>
      </w:r>
      <w:r>
        <w:rPr>
          <w:rtl w:val="true"/>
          <w:lang w:eastAsia="he-IL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1944/20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אמארה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2.9.20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>;</w:t>
      </w:r>
      <w:r>
        <w:rPr>
          <w:rtl w:val="true"/>
          <w:lang w:eastAsia="he-IL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5330/20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ענבתאוי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22.11.20</w:t>
      </w:r>
      <w:r>
        <w:rPr>
          <w:rtl w:val="true"/>
          <w:lang w:eastAsia="he-IL"/>
        </w:rPr>
        <w:t xml:space="preserve">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3632/14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אבו סבית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8.12.14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בית המשפט העליון את ערעורו של נאשם אשר הורשע על פי הודאתו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נפגש עם אדם אחר וקיבל ממנו תיק גב ובו תת מקלע מאולתר ובו מחסנית וכדור בקנה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נקבע שהנאשם לא ידע על הימצאותם של המחסנית והכדור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>מתחם עונש הנע בין שנה 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 ללא עבר פלילי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על הנאשם הוטל עונש של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3853/20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אל מוגרבי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את בית המשפט העליון את ערעור המדינה בעניינו של נאשם אשר הורשע על פי הודאתו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במתחם ביתו נשק מסוג רובה </w:t>
      </w:r>
      <w:r>
        <w:rPr>
          <w:rStyle w:val="default"/>
          <w:rFonts w:cs="David" w:ascii="David" w:hAnsi="David"/>
        </w:rPr>
        <w:t>M16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והטיל על 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בעל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עמד על הצורך בענישה מרתיעה בעבירות נשק וקבע כי העונש שהוטל על הנאשם הוא מקל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1729/19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עבאהרהה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10.10.19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קיבל לידיו נשק מאולתר מסוג 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קרלו</w:t>
      </w:r>
      <w:r>
        <w:rPr>
          <w:rStyle w:val="default"/>
          <w:rFonts w:cs="David" w:ascii="David" w:hAnsi="David"/>
          <w:rtl w:val="true"/>
        </w:rPr>
        <w:t xml:space="preserve">" </w:t>
      </w:r>
      <w:r>
        <w:rPr>
          <w:rStyle w:val="default"/>
          <w:rFonts w:ascii="David" w:hAnsi="David"/>
          <w:rtl w:val="true"/>
        </w:rPr>
        <w:t>שתי מחסניות וכדורים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והסליק את הנשק בביתו במשך כשלוש שנים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הרשעות קודמות 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54607-07-19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בור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החזקת נשק ואביזר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ברכבו רובה </w:t>
      </w:r>
      <w:r>
        <w:rPr>
          <w:rStyle w:val="default"/>
          <w:rFonts w:cs="David" w:ascii="David" w:hAnsi="David"/>
        </w:rPr>
        <w:t>M-16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ומחסנית ריקה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כשהם עטופים במושב האחורי של הרכב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והשית על הנאשם 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27050-03-20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גבארה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9.2.21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ברכבו תת מקלע מאולתר ובו מחסנית וכדורים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קבע מתחם שבין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התסקיר המליץ על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לחובת הנאשם עבר פלילי שכולל הרשעה יחידה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בגינה נדון למאסר מותנה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הוטל על הנאשם 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1106-03-18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צרצור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17.9.18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הורשעו שני נאשמים על פי הודאתם בעבירה של החזקת נשק ואבזר נשק ובהפרעה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 נסעו ברכב והחזיקו בו רובה מסוג קלצ</w:t>
      </w:r>
      <w:r>
        <w:rPr>
          <w:rStyle w:val="default"/>
          <w:rFonts w:cs="David" w:ascii="David" w:hAnsi="David"/>
          <w:rtl w:val="true"/>
        </w:rPr>
        <w:t>'</w:t>
      </w:r>
      <w:r>
        <w:rPr>
          <w:rStyle w:val="default"/>
          <w:rFonts w:ascii="David" w:hAnsi="David"/>
          <w:rtl w:val="true"/>
        </w:rPr>
        <w:t>ניקוב ובתוכו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שנהג 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האיץ את מהירות נסיעתו במטרה להימלט מהשוטרים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 יצאו מהרכב ונמלטו רגלית עד שנתפסו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ללא עבר פלילי ולנאשם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אשר שהה בישראל שלא כדין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רישום פלילי שהתיישן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על 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הוטל 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ועל הנאשם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–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עיינתי באסופת הפסיקה שהגישה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שבה גזרי דין שבהם נדונו נאשמים בגין עבירות נשק לעונשים קלים של עבודות שירות</w:t>
      </w:r>
      <w:r>
        <w:rPr>
          <w:rtl w:val="true"/>
        </w:rPr>
        <w:t xml:space="preserve">, </w:t>
      </w:r>
      <w:r>
        <w:rPr>
          <w:rtl w:val="true"/>
        </w:rPr>
        <w:t>ואולם סבורני כי אין בפסיקה האמורה כדי ללמד על מדיניות הענישה הנוהגת בנסיבות המקרה הנוכחי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  <w:r>
        <w:rPr>
          <w:rtl w:val="true"/>
        </w:rPr>
        <w:t>הנאשם לא עבר הליך שיקומי כלשהו</w:t>
      </w:r>
      <w:r>
        <w:rPr>
          <w:rtl w:val="true"/>
        </w:rPr>
        <w:t xml:space="preserve">, </w:t>
      </w:r>
      <w:r>
        <w:rPr>
          <w:rtl w:val="true"/>
        </w:rPr>
        <w:t>ואף שירות המבחן נמנע מהמלצה שיקומית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גזירת העונש המתאים 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41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נשוי ואב לשני ילדים צעירים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סיים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לימוד ושירת שירות צבאי מלא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בשנים האחרונות חווה משברים ביניהם מות אמו ופציעה קשה בתאונת דרכים בגינה סובל עד היום מכאבים וקשיים פיזיים ורגשיים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ובפרט לנוכח מצבו הרפואי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אולם התקשה בלקיחת אחריות על מעשיו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בפני שירות המבחן תחילה הרחיק עצמו מביצועה ותפס עצמו כמי שאינו אחראי להימצאות הנשק ברכבו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בהמשך שינה את עמדתו והודה בביצוע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שלל נזקקות טיפולית כלשהי ושירות המבחן נמנע מהמלצה שיקומית בעניינו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נתתי דעתי לדברי בני משפחתו והתרשמתי מכנות כוונותיהם לסייע בשיקומו של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עברו הפלילי של הנאשם מינורי והתיישן זה מכבר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וכולל הרשעה יחידה בגין עבירת נהיגה ברכב ללא רישיון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שהה במעצר לתקופה בת כחודש וחצי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מאז ביצוע העבירה חלפה תקופה של כשנה וחצי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נתתי דעתי לכך שהנאשם עוסק בירי במסגרת ספורטיבית של מועדון ספורט אתגרי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וכי לדבריו בעת שירותו הצבאי שימש כצלף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 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אין ברשותו של הנאשם רישיון לנשק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שבעברו עשה הנאשם שימוש כדין בנשק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ואילו החזקת הנשק שלא כדין במקרה הנוכחי היא חריגה בנוף חייו של הנאשם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לא שולב בטיפול סביב גורמי הסיכון במצבו ולהתרשמות שירות המבחן מקיומם של קשרים חברתיים עם גורמים שוליים</w:t>
      </w:r>
      <w:r>
        <w:rPr>
          <w:rtl w:val="true"/>
        </w:rPr>
        <w:t xml:space="preserve">, </w:t>
      </w:r>
      <w:r>
        <w:rPr>
          <w:rtl w:val="true"/>
        </w:rPr>
        <w:t>היעדר כלים להתמודדות במצבי דחק וקשייו להכיר במורכבות מצבו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בנוסף יש לתת את הדעת לשיקול </w:t>
      </w:r>
      <w:r>
        <w:rPr>
          <w:b/>
          <w:b/>
          <w:bCs/>
          <w:rtl w:val="true"/>
        </w:rPr>
        <w:t>הרתעת הרבים</w:t>
      </w:r>
      <w:r>
        <w:rPr>
          <w:rtl w:val="true"/>
        </w:rPr>
        <w:t xml:space="preserve">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</w:rPr>
        <w:t xml:space="preserve">יצוין כי במסגרת הסדר הטיעון טענה המאשימה לעונש ראוי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שהוא עונש אשר חורג לקולה ממתחם העונש ההולם אשר לו עתרה שבין שנתיים לארבע שנות מאסר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קרוב לרף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עונש מאסר מותנה וקנס כספי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בניכוי ימי מעצרו החל ביום </w:t>
      </w:r>
      <w:r>
        <w:rPr>
          <w:rStyle w:val="default"/>
          <w:rFonts w:cs="David" w:ascii="David" w:hAnsi="David"/>
        </w:rPr>
        <w:t>15.9.19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29.10.19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3,000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הקנס ישולם עד ליום </w:t>
      </w:r>
      <w:r>
        <w:rPr>
          <w:rStyle w:val="default"/>
          <w:rFonts w:cs="David" w:ascii="David" w:hAnsi="David"/>
        </w:rPr>
        <w:t>1.6.21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ככל שקיימת הפקדה בהליך המ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ישולם הקנס מתוך ההפקדה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והיתרה תושב למפקיד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לאחר התייצבותו של הנאשם למאסר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בכפוף לכל הוראה חוקית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>הנאשם יתייצב לריצוי מאסרו בבית הסוהר הדרים ביום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2.5.21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 ולממונה על עבודות השירות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8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2101-10-19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כיוף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940943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6205761" TargetMode="External"/><Relationship Id="rId10" Type="http://schemas.openxmlformats.org/officeDocument/2006/relationships/hyperlink" Target="http://www.nevo.co.il/case/26888657" TargetMode="External"/><Relationship Id="rId11" Type="http://schemas.openxmlformats.org/officeDocument/2006/relationships/hyperlink" Target="http://www.nevo.co.il/case/27309272" TargetMode="External"/><Relationship Id="rId12" Type="http://schemas.openxmlformats.org/officeDocument/2006/relationships/hyperlink" Target="http://www.nevo.co.il/case/26934681" TargetMode="External"/><Relationship Id="rId13" Type="http://schemas.openxmlformats.org/officeDocument/2006/relationships/hyperlink" Target="http://www.nevo.co.il/case/26747892" TargetMode="External"/><Relationship Id="rId14" Type="http://schemas.openxmlformats.org/officeDocument/2006/relationships/hyperlink" Target="http://www.nevo.co.il/case/26913995" TargetMode="External"/><Relationship Id="rId15" Type="http://schemas.openxmlformats.org/officeDocument/2006/relationships/hyperlink" Target="http://www.nevo.co.il/case/26538254" TargetMode="External"/><Relationship Id="rId16" Type="http://schemas.openxmlformats.org/officeDocument/2006/relationships/hyperlink" Target="http://www.nevo.co.il/case/26888657" TargetMode="External"/><Relationship Id="rId17" Type="http://schemas.openxmlformats.org/officeDocument/2006/relationships/hyperlink" Target="http://www.nevo.co.il/case/16944929" TargetMode="External"/><Relationship Id="rId18" Type="http://schemas.openxmlformats.org/officeDocument/2006/relationships/hyperlink" Target="http://www.nevo.co.il/case/26756301" TargetMode="External"/><Relationship Id="rId19" Type="http://schemas.openxmlformats.org/officeDocument/2006/relationships/hyperlink" Target="http://www.nevo.co.il/case/25520167" TargetMode="External"/><Relationship Id="rId20" Type="http://schemas.openxmlformats.org/officeDocument/2006/relationships/hyperlink" Target="http://www.nevo.co.il/case/25890687" TargetMode="External"/><Relationship Id="rId21" Type="http://schemas.openxmlformats.org/officeDocument/2006/relationships/hyperlink" Target="http://www.nevo.co.il/case/26535506" TargetMode="External"/><Relationship Id="rId22" Type="http://schemas.openxmlformats.org/officeDocument/2006/relationships/hyperlink" Target="http://www.nevo.co.il/case/2375289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2021-10-11T08:25:00Z</dcterms:created>
  <dc:creator> </dc:creator>
  <dc:description/>
  <cp:keywords/>
  <dc:language>en-IL</dc:language>
  <cp:lastModifiedBy>h1</cp:lastModifiedBy>
  <dcterms:modified xsi:type="dcterms:W3CDTF">2021-10-11T08:25:00Z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כיוף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25940943;25824863;26205761;26888657:2;27309272;26934681;26747892;26913995;26538254;16944929;26756301;25520167;25890687;26535506;23752895</vt:lpwstr>
  </property>
  <property fmtid="{D5CDD505-2E9C-101B-9397-08002B2CF9AE}" pid="9" name="CITY">
    <vt:lpwstr>מרכז</vt:lpwstr>
  </property>
  <property fmtid="{D5CDD505-2E9C-101B-9397-08002B2CF9AE}" pid="10" name="DATE">
    <vt:lpwstr>20210309</vt:lpwstr>
  </property>
  <property fmtid="{D5CDD505-2E9C-101B-9397-08002B2CF9AE}" pid="11" name="DELEMATA">
    <vt:lpwstr/>
  </property>
  <property fmtid="{D5CDD505-2E9C-101B-9397-08002B2CF9AE}" pid="12" name="JUDGE">
    <vt:lpwstr>עמי קובו</vt:lpwstr>
  </property>
  <property fmtid="{D5CDD505-2E9C-101B-9397-08002B2CF9AE}" pid="13" name="LAWLISTTMP1">
    <vt:lpwstr>70301/144.a;40jc</vt:lpwstr>
  </property>
  <property fmtid="{D5CDD505-2E9C-101B-9397-08002B2CF9AE}" pid="14" name="LAWYER">
    <vt:lpwstr>איריס פיקר;תמי אולמן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2101</vt:lpwstr>
  </property>
  <property fmtid="{D5CDD505-2E9C-101B-9397-08002B2CF9AE}" pid="21" name="NEWPARTB">
    <vt:lpwstr>10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390020210309</vt:lpwstr>
  </property>
  <property fmtid="{D5CDD505-2E9C-101B-9397-08002B2CF9AE}" pid="33" name="TYPE_N_DATE">
    <vt:lpwstr>39020210309</vt:lpwstr>
  </property>
  <property fmtid="{D5CDD505-2E9C-101B-9397-08002B2CF9AE}" pid="34" name="VOLUME">
    <vt:lpwstr/>
  </property>
  <property fmtid="{D5CDD505-2E9C-101B-9397-08002B2CF9AE}" pid="35" name="WORDNUMPAGES">
    <vt:lpwstr>10</vt:lpwstr>
  </property>
</Properties>
</file>