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;Verdana" w:hAnsi="Tahoma;Verdana" w:cs="Tahoma;Verdana"/>
                <w:color w:val="000080"/>
              </w:rPr>
            </w:pPr>
            <w:bookmarkStart w:id="0" w:name="LastJudge"/>
            <w:bookmarkEnd w:id="0"/>
            <w:r>
              <w:rPr>
                <w:rFonts w:ascii="Tahoma;Verdana" w:hAnsi="Tahoma;Verdana" w:cs="Tahoma;Verdana"/>
                <w:b/>
                <w:b/>
                <w:bCs/>
                <w:color w:val="00008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21029-10-19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חמד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;Times New Roman" w:hAnsi="David;Times New Roman" w:cs="FrankRuehl;Times New Roman"/>
                <w:b/>
                <w:bCs/>
                <w:sz w:val="28"/>
                <w:szCs w:val="28"/>
              </w:rPr>
            </w:pPr>
            <w:r>
              <w:rPr>
                <w:rFonts w:cs="FrankRuehl;Times New Roman" w:ascii="David;Times New Roman" w:hAnsi="David;Times New Roman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;Times New Roman"/>
        </w:rPr>
      </w:pPr>
      <w:r>
        <w:rPr>
          <w:rFonts w:cs="Times New Roman;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רות שפילברג כהן</w:t>
            </w:r>
          </w:p>
          <w:p>
            <w:pPr>
              <w:pStyle w:val="Normal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עלי חמד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;Arial" w:hAnsi="Arial;Arial" w:cs="Arial;Arial"/>
          <w:color w:val="0000FF"/>
        </w:rPr>
      </w:pPr>
      <w:r>
        <w:rPr>
          <w:rFonts w:cs="Arial;Arial" w:ascii="Arial;Arial" w:hAnsi="Arial;Arial"/>
          <w:color w:val="0000FF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4" w:name="ABSTRACT_START"/>
      <w:bookmarkEnd w:id="4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הודאתו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החזקת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עקרון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הודאתו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בכתב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אישום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מתוקן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טיעון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החזקת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;Times New Roman"/>
          <w:szCs w:val="26"/>
          <w:rtl w:val="true"/>
        </w:rPr>
        <w:t xml:space="preserve"> </w:t>
      </w:r>
      <w:hyperlink r:id="rId5"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;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Cs w:val="26"/>
            <w:u w:val="none"/>
          </w:rPr>
          <w:t>144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רישא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וסיפא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</w:t>
      </w:r>
      <w:hyperlink r:id="rId6">
        <w:r>
          <w:rPr>
            <w:rStyle w:val="Hyperlink"/>
            <w:rFonts w:cs="FrankRuehl;Times New Roman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העונשין</w:t>
        </w:r>
      </w:hyperlink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התשל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ז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1977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כדלקמן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רק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במקרים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יוצאי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דופן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שעניינם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בשיקולי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חריגים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נעשית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סטייה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מרמת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המתחילה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ממושך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למגמה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ברורה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העליון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לפיה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להחמיר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בגין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קבע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>בתוך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התחשב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העדר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פלילי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תקופת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השהות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במעצר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ההליכים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ובמשפחתו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בנוסף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ניתן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משקל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לכך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שהמאשימה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הגבילה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הטיעון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לתחתית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בלתי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משמעותית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בעונש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מצא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ראוי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בסופו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דבר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החורגת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לבוא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לקראת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בגדרי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הטיעון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ולגזור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הנמוך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במעט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עתרה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המאשימה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;Arial" w:hAnsi="Arial;Arial" w:cs="Arial;Arial"/>
          <w:szCs w:val="26"/>
        </w:rPr>
      </w:pPr>
      <w:r>
        <w:rPr>
          <w:rFonts w:cs="Arial;Arial" w:ascii="Arial;Arial" w:hAnsi="Arial;Arial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;Times New Roman" w:hAnsi="David;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David;Times New Roman" w:ascii="David;Times New Roman" w:hAnsi="David;Times New Roman"/>
                <w:b/>
                <w:bCs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;Times New Roman" w:hAnsi="David;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sz w:val="22"/>
          <w:szCs w:val="22"/>
          <w:u w:val="single"/>
        </w:rPr>
      </w:pPr>
      <w:r>
        <w:rPr>
          <w:rFonts w:ascii="Arial;Arial" w:hAnsi="Arial;Arial" w:cs="Arial;Arial"/>
          <w:b/>
          <w:b/>
          <w:bCs/>
          <w:u w:val="single"/>
          <w:rtl w:val="true"/>
        </w:rPr>
        <w:t>כתב אישום ורקע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sz w:val="22"/>
          <w:szCs w:val="22"/>
          <w:u w:val="single"/>
        </w:rPr>
      </w:pPr>
      <w:r>
        <w:rPr>
          <w:rFonts w:cs="Arial;Arial" w:ascii="Arial;Arial" w:hAnsi="Arial;Arial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1</w:t>
      </w:r>
      <w:r>
        <w:rPr>
          <w:rFonts w:cs="Arial;Arial" w:ascii="Arial;Arial" w:hAnsi="Arial;Arial"/>
          <w:rtl w:val="true"/>
        </w:rPr>
        <w:t xml:space="preserve">.         </w:t>
        <w:tab/>
      </w:r>
      <w:r>
        <w:rPr>
          <w:rFonts w:ascii="Arial;Arial" w:hAnsi="Arial;Arial" w:cs="Arial;Arial"/>
          <w:rtl w:val="true"/>
        </w:rPr>
        <w:t>הנאשם הורשע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פי הודאתו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בכתב אישום מתוקן במסגרת הסדר טיעון מיום </w:t>
      </w:r>
      <w:r>
        <w:rPr>
          <w:rFonts w:cs="Arial;Arial" w:ascii="Arial;Arial" w:hAnsi="Arial;Arial"/>
        </w:rPr>
        <w:t>25.12.19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בעבירה של</w:t>
      </w:r>
      <w:r>
        <w:rPr>
          <w:rFonts w:ascii="Arial;Arial" w:hAnsi="Arial;Arial" w:cs="Arial;Arial"/>
          <w:b/>
          <w:b/>
          <w:bCs/>
          <w:rtl w:val="true"/>
        </w:rPr>
        <w:t xml:space="preserve"> החזקת נשק</w:t>
      </w:r>
      <w:r>
        <w:rPr>
          <w:rFonts w:ascii="Arial;Arial" w:hAnsi="Arial;Arial" w:cs="Arial;Arial"/>
          <w:rtl w:val="true"/>
        </w:rPr>
        <w:t xml:space="preserve"> לפי </w:t>
      </w:r>
      <w:hyperlink r:id="rId7">
        <w:r>
          <w:rPr>
            <w:rStyle w:val="Hyperlink"/>
            <w:rFonts w:ascii="Arial;Arial" w:hAnsi="Arial;Arial" w:cs="Arial;Arial"/>
            <w:rtl w:val="true"/>
          </w:rPr>
          <w:t>סעיף</w:t>
        </w:r>
        <w:r>
          <w:rPr>
            <w:rStyle w:val="Hyperlink"/>
            <w:rFonts w:ascii="Arial;Arial" w:hAnsi="Arial;Arial" w:cs="Arial;Arial"/>
            <w:rtl w:val="true"/>
          </w:rPr>
          <w:t xml:space="preserve"> </w:t>
        </w:r>
        <w:r>
          <w:rPr>
            <w:rStyle w:val="Hyperlink"/>
            <w:rFonts w:cs="Arial;Arial" w:ascii="Arial;Arial" w:hAnsi="Arial;Arial"/>
          </w:rPr>
          <w:t>144</w:t>
        </w:r>
        <w:r>
          <w:rPr>
            <w:rStyle w:val="Hyperlink"/>
            <w:rFonts w:cs="Arial;Arial" w:ascii="Arial;Arial" w:hAnsi="Arial;Arial"/>
            <w:rtl w:val="true"/>
          </w:rPr>
          <w:t>(</w:t>
        </w:r>
        <w:r>
          <w:rPr>
            <w:rStyle w:val="Hyperlink"/>
            <w:rFonts w:ascii="Arial;Arial" w:hAnsi="Arial;Arial" w:cs="Arial;Arial"/>
            <w:rtl w:val="true"/>
          </w:rPr>
          <w:t>א</w:t>
        </w:r>
        <w:r>
          <w:rPr>
            <w:rStyle w:val="Hyperlink"/>
            <w:rFonts w:cs="Arial;Arial" w:ascii="Arial;Arial" w:hAnsi="Arial;Arial"/>
            <w:rtl w:val="true"/>
          </w:rPr>
          <w:t>)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רישא וסיפא</w:t>
      </w:r>
      <w:r>
        <w:rPr>
          <w:rFonts w:cs="Arial;Arial" w:ascii="Arial;Arial" w:hAnsi="Arial;Arial"/>
          <w:b/>
          <w:bCs/>
          <w:rtl w:val="true"/>
        </w:rPr>
        <w:t>,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ל</w:t>
      </w:r>
      <w:hyperlink r:id="rId8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חוק העונשין</w:t>
        </w:r>
      </w:hyperlink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התשל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ז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1977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  <w:tab/>
      </w:r>
      <w:r>
        <w:rPr>
          <w:rFonts w:ascii="Arial;Arial" w:hAnsi="Arial;Arial" w:cs="Arial;Arial"/>
          <w:rtl w:val="true"/>
        </w:rPr>
        <w:t>יש לציין כי בכתב האישום המתוקן צויין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ככל הנראה בשגגה</w:t>
      </w:r>
      <w:r>
        <w:rPr>
          <w:rFonts w:cs="Arial;Arial" w:ascii="Arial;Arial" w:hAnsi="Arial;Arial"/>
          <w:rtl w:val="true"/>
        </w:rPr>
        <w:t>, "</w:t>
      </w:r>
      <w:r>
        <w:rPr>
          <w:rFonts w:ascii="Arial;Arial" w:hAnsi="Arial;Arial" w:cs="Arial;Arial"/>
          <w:rtl w:val="true"/>
        </w:rPr>
        <w:t>נשיאה והובלה של נשק</w:t>
      </w:r>
      <w:r>
        <w:rPr>
          <w:rFonts w:cs="Arial;Arial" w:ascii="Arial;Arial" w:hAnsi="Arial;Arial"/>
          <w:rtl w:val="true"/>
        </w:rPr>
        <w:t xml:space="preserve">" – </w:t>
      </w:r>
      <w:r>
        <w:rPr>
          <w:rFonts w:ascii="Arial;Arial" w:hAnsi="Arial;Arial" w:cs="Arial;Arial"/>
          <w:rtl w:val="true"/>
        </w:rPr>
        <w:t xml:space="preserve">ניסוח שתואם את </w:t>
      </w:r>
      <w:hyperlink r:id="rId9">
        <w:r>
          <w:rPr>
            <w:rStyle w:val="Hyperlink"/>
            <w:rFonts w:ascii="Arial;Arial" w:hAnsi="Arial;Arial" w:cs="Arial;Arial"/>
            <w:rtl w:val="true"/>
          </w:rPr>
          <w:t>סעיף</w:t>
        </w:r>
        <w:r>
          <w:rPr>
            <w:rStyle w:val="Hyperlink"/>
            <w:rFonts w:ascii="Arial;Arial" w:hAnsi="Arial;Arial" w:cs="Arial;Arial"/>
            <w:rtl w:val="true"/>
          </w:rPr>
          <w:t xml:space="preserve"> </w:t>
        </w:r>
        <w:r>
          <w:rPr>
            <w:rStyle w:val="Hyperlink"/>
            <w:rFonts w:cs="Arial;Arial" w:ascii="Arial;Arial" w:hAnsi="Arial;Arial"/>
          </w:rPr>
          <w:t>144</w:t>
        </w:r>
        <w:r>
          <w:rPr>
            <w:rStyle w:val="Hyperlink"/>
            <w:rFonts w:cs="Arial;Arial" w:ascii="Arial;Arial" w:hAnsi="Arial;Arial"/>
            <w:rtl w:val="true"/>
          </w:rPr>
          <w:t>(</w:t>
        </w:r>
        <w:r>
          <w:rPr>
            <w:rStyle w:val="Hyperlink"/>
            <w:rFonts w:ascii="Arial;Arial" w:hAnsi="Arial;Arial" w:cs="Arial;Arial"/>
            <w:rtl w:val="true"/>
          </w:rPr>
          <w:t>ב</w:t>
        </w:r>
        <w:r>
          <w:rPr>
            <w:rStyle w:val="Hyperlink"/>
            <w:rFonts w:cs="Arial;Arial" w:ascii="Arial;Arial" w:hAnsi="Arial;Arial"/>
            <w:rtl w:val="true"/>
          </w:rPr>
          <w:t>)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לחוק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שלא יוחס בכתב האישום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ושמצוי ממילא בסמכותו של ביעת המשפט המחוזי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2</w:t>
      </w:r>
      <w:r>
        <w:rPr>
          <w:rFonts w:cs="Arial;Arial" w:ascii="Arial;Arial" w:hAnsi="Arial;Arial"/>
          <w:rtl w:val="true"/>
        </w:rPr>
        <w:t xml:space="preserve">.          </w:t>
      </w:r>
      <w:r>
        <w:rPr>
          <w:rFonts w:ascii="Arial;Arial" w:hAnsi="Arial;Arial" w:cs="Arial;Arial"/>
          <w:rtl w:val="true"/>
        </w:rPr>
        <w:t>לפי כתב האישום המתוקן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ביום </w:t>
      </w:r>
      <w:r>
        <w:rPr>
          <w:rFonts w:cs="Arial;Arial" w:ascii="Arial;Arial" w:hAnsi="Arial;Arial"/>
        </w:rPr>
        <w:t>22.8.19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בעיר נצרת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החזיק הנאשם בתא הכפפות של רכבו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אקדח מסוג 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אסטרה</w:t>
      </w:r>
      <w:r>
        <w:rPr>
          <w:rFonts w:cs="Arial;Arial" w:ascii="Arial;Arial" w:hAnsi="Arial;Arial"/>
          <w:rtl w:val="true"/>
        </w:rPr>
        <w:t xml:space="preserve">" </w:t>
      </w:r>
      <w:r>
        <w:rPr>
          <w:rFonts w:ascii="Arial;Arial" w:hAnsi="Arial;Arial" w:cs="Arial;Arial"/>
          <w:rtl w:val="true"/>
        </w:rPr>
        <w:t>ומחסנית תואמת מלאה בשלושה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עשר כדורים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;Arial" w:hAnsi="Arial;Arial" w:cs="Arial;Arial"/>
        </w:rPr>
      </w:pPr>
      <w:r>
        <w:rPr>
          <w:rFonts w:eastAsia="Arial;Arial" w:cs="Arial;Arial" w:ascii="Arial;Arial" w:hAnsi="Arial;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3</w:t>
      </w:r>
      <w:r>
        <w:rPr>
          <w:rFonts w:cs="Arial;Arial" w:ascii="Arial;Arial" w:hAnsi="Arial;Arial"/>
          <w:rtl w:val="true"/>
        </w:rPr>
        <w:t xml:space="preserve">.         </w:t>
        <w:tab/>
      </w:r>
      <w:r>
        <w:rPr>
          <w:rFonts w:ascii="Arial;Arial" w:hAnsi="Arial;Arial" w:cs="Arial;Arial"/>
          <w:rtl w:val="true"/>
        </w:rPr>
        <w:t xml:space="preserve">ביום </w:t>
      </w:r>
      <w:r>
        <w:rPr>
          <w:rFonts w:cs="Arial;Arial" w:ascii="Arial;Arial" w:hAnsi="Arial;Arial"/>
        </w:rPr>
        <w:t>25.12.19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הודיעו הצדדים כי הגיעו להסדר טיעון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לפיו הנאשם הודה בעובדות כתב האישום המתוקן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והורשע בעבירה המיוחסת לו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 xml:space="preserve">ביום </w:t>
      </w:r>
      <w:r>
        <w:rPr>
          <w:rFonts w:cs="Arial;Arial" w:ascii="Arial;Arial" w:hAnsi="Arial;Arial"/>
        </w:rPr>
        <w:t>30.1.19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הודיעו הצדדים כי הגיעו להסכמה נוספת במסגרת הסדר הטיעון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לפיה המאשימה תעתור לעונש ראוי מקסימלי של שנת מאסר בצירוף מאסר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תנאי וקנס משמעותי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ואילו הסנגור יטען באופן חפשי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eastAsia="Arial;Arial" w:cs="Arial;Arial" w:ascii="Arial;Arial" w:hAnsi="Arial;Arial"/>
          <w:rtl w:val="true"/>
        </w:rPr>
        <w:t xml:space="preserve">            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u w:val="single"/>
        </w:rPr>
      </w:pPr>
      <w:r>
        <w:rPr>
          <w:rFonts w:ascii="Arial;Arial" w:hAnsi="Arial;Arial" w:cs="Arial;Arial"/>
          <w:b/>
          <w:b/>
          <w:bCs/>
          <w:u w:val="single"/>
          <w:rtl w:val="true"/>
        </w:rPr>
        <w:t>טיעונים לעונש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  <w:u w:val="single"/>
        </w:rPr>
      </w:pPr>
      <w:r>
        <w:rPr>
          <w:rFonts w:cs="Arial;Arial" w:ascii="Arial;Arial" w:hAnsi="Arial;Arial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ביום </w:t>
      </w:r>
      <w:r>
        <w:rPr>
          <w:rFonts w:cs="Arial;Arial" w:ascii="Arial;Arial" w:hAnsi="Arial;Arial"/>
        </w:rPr>
        <w:t>30.1.19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טענו הצדדים לעונש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 הגיש טיעוניו בכתב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הנאשם טען בע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פ 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u w:val="single"/>
        </w:rPr>
      </w:pPr>
      <w:r>
        <w:rPr>
          <w:rFonts w:cs="Arial;Arial" w:ascii="Arial;Arial" w:hAnsi="Arial;Arial"/>
        </w:rPr>
        <w:t>4</w:t>
      </w:r>
      <w:r>
        <w:rPr>
          <w:rFonts w:cs="Arial;Arial" w:ascii="Arial;Arial" w:hAnsi="Arial;Arial"/>
          <w:rtl w:val="true"/>
        </w:rPr>
        <w:t>.</w:t>
      </w:r>
      <w:r>
        <w:rPr>
          <w:rFonts w:cs="Arial;Arial" w:ascii="Arial;Arial" w:hAnsi="Arial;Arial"/>
          <w:b/>
          <w:bCs/>
          <w:rtl w:val="true"/>
        </w:rPr>
        <w:t xml:space="preserve">         </w:t>
      </w:r>
      <w:r>
        <w:rPr>
          <w:rFonts w:cs="Arial;Arial" w:ascii="Arial;Arial" w:hAnsi="Arial;Arial"/>
          <w:rtl w:val="true"/>
        </w:rPr>
        <w:tab/>
      </w:r>
      <w:r>
        <w:rPr>
          <w:rFonts w:ascii="Arial;Arial" w:hAnsi="Arial;Arial" w:cs="Arial;Arial"/>
          <w:u w:val="single"/>
          <w:rtl w:val="true"/>
        </w:rPr>
        <w:t>טיעוני ב</w:t>
      </w:r>
      <w:r>
        <w:rPr>
          <w:rFonts w:cs="Arial;Arial" w:ascii="Arial;Arial" w:hAnsi="Arial;Arial"/>
          <w:u w:val="single"/>
          <w:rtl w:val="true"/>
        </w:rPr>
        <w:t>"</w:t>
      </w:r>
      <w:r>
        <w:rPr>
          <w:rFonts w:ascii="Arial;Arial" w:hAnsi="Arial;Arial" w:cs="Arial;Arial"/>
          <w:u w:val="single"/>
          <w:rtl w:val="true"/>
        </w:rPr>
        <w:t xml:space="preserve">כ המאשימה </w:t>
      </w:r>
    </w:p>
    <w:p>
      <w:pPr>
        <w:pStyle w:val="Normal"/>
        <w:spacing w:lineRule="auto" w:line="360"/>
        <w:ind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כ המאשימה טען כי מתחם העונש ההולם נע בין </w:t>
      </w:r>
      <w:r>
        <w:rPr>
          <w:rFonts w:cs="Arial;Arial" w:ascii="Arial;Arial" w:hAnsi="Arial;Arial"/>
        </w:rPr>
        <w:t>1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ל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3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שנות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וביקש להטיל על הנאשם עונש של שנת מאסר בצירוף מאסר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תנאי משמעותי וקנס כספי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הנאשם נתפס כשהוא מוביל נשק ברכבו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באופן המלמד כי הנשק היה מיועד להעברה ממקום למקום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למעשה נזק פוטנציאלי רב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 טען כי הובלת הנשק פגעה בערכים מוגנים של שלום הציבור וביטחונו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נטען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יש להלום את נסיבות המקרה בענישה ראויה שתסייע במיגור תופעת הנשק הבלתי חוקי במגזר הערבי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בשל הסיכון הטמון בשימוש בנשק חוקי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ידי מי שאינו מורשה לכך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באשר לנסיבות שאינן קשורות בביצוע העבירות נטען כי הנאשם אמנם נעדר עבר פלילי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הודה וחסך מזמנו של 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אך נסיבות אלה מקבלות משקל בעתירת המאשימה לעונש מאסר המצוי ברף התחתון של מתחם העונש ההולם לו טענה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;Arial" w:hAnsi="Arial;Arial" w:cs="Arial;Arial"/>
        </w:rPr>
      </w:pPr>
      <w:r>
        <w:rPr>
          <w:rFonts w:eastAsia="Arial;Arial" w:cs="Arial;Arial" w:ascii="Arial;Arial" w:hAnsi="Arial;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u w:val="single"/>
        </w:rPr>
      </w:pPr>
      <w:r>
        <w:rPr>
          <w:rFonts w:eastAsia="Arial;Arial" w:cs="Arial;Arial" w:ascii="Arial;Arial" w:hAnsi="Arial;Arial"/>
          <w:b/>
          <w:bCs/>
          <w:rtl w:val="true"/>
        </w:rPr>
        <w:t xml:space="preserve">         </w:t>
      </w:r>
      <w:r>
        <w:rPr>
          <w:rFonts w:cs="Arial;Arial" w:ascii="Arial;Arial" w:hAnsi="Arial;Arial"/>
          <w:b/>
          <w:bCs/>
          <w:rtl w:val="true"/>
        </w:rPr>
        <w:tab/>
      </w:r>
      <w:r>
        <w:rPr>
          <w:rFonts w:ascii="Arial;Arial" w:hAnsi="Arial;Arial" w:cs="Arial;Arial"/>
          <w:u w:val="single"/>
          <w:rtl w:val="true"/>
        </w:rPr>
        <w:t>טיעוני ב</w:t>
      </w:r>
      <w:r>
        <w:rPr>
          <w:rFonts w:cs="Arial;Arial" w:ascii="Arial;Arial" w:hAnsi="Arial;Arial"/>
          <w:u w:val="single"/>
          <w:rtl w:val="true"/>
        </w:rPr>
        <w:t>"</w:t>
      </w:r>
      <w:r>
        <w:rPr>
          <w:rFonts w:ascii="Arial;Arial" w:hAnsi="Arial;Arial" w:cs="Arial;Arial"/>
          <w:u w:val="single"/>
          <w:rtl w:val="true"/>
        </w:rPr>
        <w:t>כ הנאשם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הנאשם ביקש מבית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להתחשב בנאשם ולהטיל עליו ששה חודשי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בניכוי ימי המעצר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נטען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הנשק נמצא בתא הכפפות של הרכב השייך לנאשם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כשהרכב נעול וחונה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ולא בנסיעה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לא ניתן היה לקבוע למשך כמה זמן הוחזק הנשק ברכב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ומדובר בנסיבה מקלה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אף שבתיק היו מעורבים נוספים שלא הועמדו לדין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הנאשם נטל אחריות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הודה ושיתף פעולה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הביע חרטה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וחסך זמן שיפוטי יקר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לנאשם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בן </w:t>
      </w:r>
      <w:r>
        <w:rPr>
          <w:rFonts w:cs="Arial;Arial" w:ascii="Arial;Arial" w:hAnsi="Arial;Arial"/>
        </w:rPr>
        <w:t>46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אין עבר פלילי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זוהי הסתבכותו הראשונה ואין לראות בו מי שמנהל אורח חיים עברייני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לנאשם חמישה ילדים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שהוא האמון על פרנסתם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מאז מעצרו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מצבה הכלכלי של משפחתו התדרדר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עוד טען הסנגור כי ביום האירוע נעצר אדם נוסף שבקטנועו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אשר חנה ליד רכבו של הנאשם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נמצא אקדח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הוגש נגדו כתב אישום לבית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המחוזי בנצרת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ונגזר עליו עונש מאסר של שנה ויום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בגין החזקת נשק והסתייעות ברכב לביצוע פשע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מדובר באדם שלו עבר פלילי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נטען כי ראוי להבחין את עניינו של הנאשם כאן ולהטיל עליו עונש קל יותר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עוד הפנה הסנגור לפסיקה עדכנית של 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העליון התומכת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לדבריו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בטענתו שבמקרים דומים הוטלו גם תקופות מאסר קצרות יותר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u w:val="single"/>
        </w:rPr>
      </w:pPr>
      <w:r>
        <w:rPr>
          <w:rFonts w:eastAsia="Arial;Arial" w:cs="Arial;Arial" w:ascii="Arial;Arial" w:hAnsi="Arial;Arial"/>
          <w:rtl w:val="true"/>
        </w:rPr>
        <w:t xml:space="preserve">     </w:t>
      </w:r>
      <w:r>
        <w:rPr>
          <w:rFonts w:cs="Arial;Arial" w:ascii="Arial;Arial" w:hAnsi="Arial;Arial"/>
          <w:rtl w:val="true"/>
        </w:rPr>
        <w:tab/>
      </w:r>
      <w:r>
        <w:rPr>
          <w:rFonts w:ascii="Arial;Arial" w:hAnsi="Arial;Arial" w:cs="Arial;Arial"/>
          <w:u w:val="single"/>
          <w:rtl w:val="true"/>
        </w:rPr>
        <w:t>דברי הנאשם</w:t>
      </w:r>
    </w:p>
    <w:p>
      <w:pPr>
        <w:pStyle w:val="Normal"/>
        <w:spacing w:lineRule="auto" w:line="360"/>
        <w:ind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הנאשם הביע צער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ומסר כי לא ישוב על המעשים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הוא ביקש לחזור למשפחתו ולעבודתו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ascii="Arial;Arial" w:hAnsi="Arial;Arial" w:cs="Arial;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cs="Arial;Arial" w:ascii="Arial;Arial" w:hAnsi="Arial;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eastAsia="Arial;Arial" w:cs="Arial;Arial" w:ascii="Arial;Arial" w:hAnsi="Arial;Arial"/>
          <w:rtl w:val="true"/>
        </w:rPr>
        <w:t xml:space="preserve">            </w:t>
      </w:r>
      <w:r>
        <w:rPr>
          <w:rFonts w:cs="Arial;Arial" w:ascii="Arial;Arial" w:hAnsi="Arial;Arial"/>
          <w:rtl w:val="true"/>
        </w:rPr>
        <w:tab/>
        <w:t xml:space="preserve"> </w:t>
      </w:r>
      <w:r>
        <w:rPr>
          <w:rFonts w:ascii="Arial;Arial" w:hAnsi="Arial;Arial" w:cs="Arial;Arial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0"/>
        <w:ind w:hanging="800" w:start="80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5</w:t>
      </w:r>
      <w:r>
        <w:rPr>
          <w:rFonts w:cs="Arial;Arial" w:ascii="Arial;Arial" w:hAnsi="Arial;Arial"/>
          <w:rtl w:val="true"/>
        </w:rPr>
        <w:t xml:space="preserve">.        </w:t>
        <w:tab/>
      </w:r>
      <w:r>
        <w:rPr>
          <w:rFonts w:ascii="Arial;Arial" w:hAnsi="Arial;Arial" w:cs="Arial;Arial"/>
          <w:rtl w:val="true"/>
        </w:rPr>
        <w:t xml:space="preserve">הערכים החברתיים המוגנים הנפגעים כתוצאה מהעבירה של </w:t>
      </w:r>
      <w:r>
        <w:rPr>
          <w:rFonts w:ascii="Arial;Arial" w:hAnsi="Arial;Arial" w:cs="Arial;Arial"/>
          <w:b/>
          <w:b/>
          <w:bCs/>
          <w:rtl w:val="true"/>
        </w:rPr>
        <w:t>נשיאה והובלת נשק</w:t>
      </w:r>
      <w:r>
        <w:rPr>
          <w:rFonts w:ascii="Arial;Arial" w:hAnsi="Arial;Arial" w:cs="Arial;Arial"/>
          <w:rtl w:val="true"/>
        </w:rPr>
        <w:t xml:space="preserve"> הם שלום הציבור ובטחונו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בתי המשפט עמדו לא אחת על חומרתן של עבירות הנשק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תוך הדגשת הסיכון הממשי לציבור הנובע מעבירות אלה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החזקת נשק על ידי אזרחים יוצרת מטבעה פוטנציאל להסלמה עבריינית או לפעילות עוינת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בהתאם להלכה הפסוקה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חומרת עבירות הנשק מחייבת מתן ביטוי עונשי הולם ומרתיע באמצעות הטלת עונשי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כשנסיבות אישיות נדחות בפני האינטרס הציבורי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ascii="Arial;Arial" w:hAnsi="Arial;Arial" w:cs="Arial;Arial"/>
          <w:rtl w:val="true"/>
        </w:rPr>
        <w:t>ב</w:t>
      </w:r>
      <w:hyperlink r:id="rId10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5220/09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עוואודה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30.12.09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נקבע כי דרך המלך בעבירות נשק צריכה להיות ככלל מאסר מאחורי סורג ובריח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פסיקת בית המשפט העליון מהשנים האחרונות הובילה במוצהר קו של החמרת ענישה בעבירות נשק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תוך התערבות בגזרי דין של ערכאות נמוכות יותר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אף בניגוד לכלל הנוהג לפיו ערכאת הערעור ממעטת להחמיר בענישה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גישה זו מבטאת את ההכרה בהתפשטותן המדאיגה של עבירות הנשק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בעליית רמת האלימות בחברה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ובסיכון הממשי לציבור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בשל השימוש התדיר בנשק לפתרון סכסוכים ולשם ביצוע עבירות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ראה לעניין זה את דברי ביהמ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ש העליון מהעת האחרונה ב</w:t>
      </w:r>
      <w:hyperlink r:id="rId11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4406/19</w:t>
        </w:r>
      </w:hyperlink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מ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י נ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סובח ואח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5/11/19</w:t>
      </w:r>
      <w:r>
        <w:rPr>
          <w:rFonts w:cs="Calibri;Times New Roman" w:ascii="Calibri;Times New Roman" w:hAnsi="Calibri;Times New Roman"/>
          <w:rtl w:val="true"/>
        </w:rPr>
        <w:t>) (</w:t>
      </w:r>
      <w:r>
        <w:rPr>
          <w:rFonts w:ascii="Calibri;Times New Roman" w:hAnsi="Calibri;Times New Roman" w:cs="Calibri;Times New Roman"/>
          <w:rtl w:val="true"/>
        </w:rPr>
        <w:t>דברי כב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הש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אלרון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פסקה </w:t>
      </w:r>
      <w:r>
        <w:rPr>
          <w:rFonts w:cs="Calibri;Times New Roman" w:ascii="Calibri;Times New Roman" w:hAnsi="Calibri;Times New Roman"/>
        </w:rPr>
        <w:t>17</w:t>
      </w:r>
      <w:r>
        <w:rPr>
          <w:rFonts w:cs="Calibri;Times New Roman" w:ascii="Calibri;Times New Roman" w:hAnsi="Calibri;Times New Roman"/>
          <w:rtl w:val="true"/>
        </w:rPr>
        <w:t>):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800" w:end="0"/>
        <w:jc w:val="both"/>
        <w:textAlignment w:val="baseline"/>
        <w:rPr>
          <w:rFonts w:ascii="David;Times New Roman" w:hAnsi="David;Times New Roman" w:cs="David;Times New Roman"/>
          <w:b/>
          <w:bCs/>
          <w:spacing w:val="10"/>
        </w:rPr>
      </w:pPr>
      <w:r>
        <w:rPr>
          <w:b/>
          <w:bCs/>
          <w:spacing w:val="10"/>
          <w:rtl w:val="true"/>
        </w:rPr>
        <w:tab/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נותר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אדיש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למול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השימוש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הגובר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והדגיש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הצורך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בענישה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מחמירה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ומרתיעה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השימוש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פתרון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סכסוכים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זאת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השימוש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נעשה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בסביבת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מגורים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כך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למשל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בעניין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צוין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b/>
          <w:bCs/>
          <w:spacing w:val="10"/>
          <w:rtl w:val="true"/>
        </w:rPr>
        <w:t>:</w:t>
      </w:r>
    </w:p>
    <w:p>
      <w:pPr>
        <w:pStyle w:val="Normal"/>
        <w:overflowPunct w:val="false"/>
        <w:autoSpaceDE w:val="false"/>
        <w:spacing w:before="0" w:after="420"/>
        <w:ind w:start="1644" w:end="1276"/>
        <w:contextualSpacing/>
        <w:jc w:val="both"/>
        <w:textAlignment w:val="baseline"/>
        <w:rPr>
          <w:b/>
          <w:bCs/>
          <w:spacing w:val="10"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רבות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נאמר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ונכתב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הרעה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החולה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הפוקדת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מקומותינו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ומותירה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חלל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והרס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התופעה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שימוש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ברחובה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עיר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סכסוכים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בעניינים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בכך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חזר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והתריע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התפשטות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התופעה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וקבע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באופן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ברור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להילחם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ולמגרה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באופן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הנחרץ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ביותר</w:t>
      </w:r>
      <w:r>
        <w:rPr>
          <w:b/>
          <w:bCs/>
          <w:spacing w:val="10"/>
          <w:rtl w:val="true"/>
        </w:rPr>
        <w:t>" (</w:t>
      </w:r>
      <w:hyperlink r:id="rId12"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u w:val="single"/>
          </w:rPr>
          <w:t>32/14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spacing w:val="10"/>
          <w:rtl w:val="true"/>
        </w:rPr>
        <w:t>בפסקה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20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17.9.2015</w:t>
      </w:r>
      <w:r>
        <w:rPr>
          <w:b/>
          <w:bCs/>
          <w:spacing w:val="10"/>
          <w:rtl w:val="true"/>
        </w:rPr>
        <w:t xml:space="preserve">); </w:t>
      </w:r>
      <w:r>
        <w:rPr>
          <w:b/>
          <w:b/>
          <w:bCs/>
          <w:spacing w:val="10"/>
          <w:rtl w:val="true"/>
        </w:rPr>
        <w:t>ראו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b/>
          <w:bCs/>
          <w:spacing w:val="10"/>
          <w:rtl w:val="true"/>
        </w:rPr>
        <w:t xml:space="preserve">: </w:t>
      </w:r>
      <w:hyperlink r:id="rId13"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u w:val="single"/>
          </w:rPr>
          <w:t>4611/18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spacing w:val="10"/>
          <w:rtl w:val="true"/>
        </w:rPr>
        <w:t>בפסקה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5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10.3.2019</w:t>
      </w:r>
      <w:r>
        <w:rPr>
          <w:b/>
          <w:bCs/>
          <w:spacing w:val="10"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u w:val="single"/>
          </w:rPr>
          <w:t>5015/15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spacing w:val="10"/>
          <w:rtl w:val="true"/>
        </w:rPr>
        <w:t>בפסקה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12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29.3.2016</w:t>
      </w:r>
      <w:r>
        <w:rPr>
          <w:b/>
          <w:bCs/>
          <w:spacing w:val="10"/>
          <w:rtl w:val="true"/>
        </w:rPr>
        <w:t>)).</w:t>
      </w:r>
    </w:p>
    <w:p>
      <w:pPr>
        <w:pStyle w:val="Normal"/>
        <w:overflowPunct w:val="false"/>
        <w:autoSpaceDE w:val="false"/>
        <w:spacing w:lineRule="auto" w:line="360" w:before="0" w:after="420"/>
        <w:ind w:start="1644" w:end="1276"/>
        <w:contextualSpacing/>
        <w:jc w:val="both"/>
        <w:textAlignment w:val="baseline"/>
        <w:rPr>
          <w:b/>
          <w:bCs/>
          <w:spacing w:val="10"/>
        </w:rPr>
      </w:pPr>
      <w:r>
        <w:rPr>
          <w:b/>
          <w:bCs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>
          <w:b/>
          <w:bCs/>
          <w:spacing w:val="10"/>
        </w:rPr>
      </w:pPr>
      <w:r>
        <w:rPr>
          <w:b/>
          <w:b/>
          <w:bCs/>
          <w:spacing w:val="10"/>
          <w:rtl w:val="true"/>
        </w:rPr>
        <w:t>דברים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אלו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אף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לאחרונה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בדברי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הנשיאה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בטקס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פתיחת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שנת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הנוכחית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לשכת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עורכי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הדין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בנצרת</w:t>
      </w:r>
      <w:r>
        <w:rPr>
          <w:b/>
          <w:bCs/>
          <w:spacing w:val="10"/>
          <w:rtl w:val="true"/>
        </w:rPr>
        <w:t>:</w:t>
      </w:r>
    </w:p>
    <w:p>
      <w:pPr>
        <w:pStyle w:val="Normal"/>
        <w:overflowPunct w:val="false"/>
        <w:autoSpaceDE w:val="false"/>
        <w:spacing w:before="0" w:after="420"/>
        <w:ind w:start="1644" w:end="1276"/>
        <w:contextualSpacing/>
        <w:jc w:val="both"/>
        <w:textAlignment w:val="baseline"/>
        <w:rPr>
          <w:b/>
          <w:bCs/>
          <w:spacing w:val="10"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מערכת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משקיעה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מאמצים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רבים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בתחום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ובית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העליון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התווה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וממשיך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להתוות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הלכות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לאורך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השנים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באשר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לרמת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ההולמת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החומרה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היתרה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הגלומה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בביצוע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ובאשר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לביטוי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העונשי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ההולם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המתחייב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מכך</w:t>
      </w:r>
      <w:r>
        <w:rPr>
          <w:b/>
          <w:bCs/>
          <w:spacing w:val="10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 w:before="0" w:after="420"/>
        <w:ind w:start="1644" w:end="1276"/>
        <w:contextualSpacing/>
        <w:jc w:val="both"/>
        <w:textAlignment w:val="baseline"/>
        <w:rPr>
          <w:b/>
          <w:bCs/>
          <w:spacing w:val="10"/>
        </w:rPr>
      </w:pPr>
      <w:r>
        <w:rPr>
          <w:b/>
          <w:bCs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>
          <w:b/>
          <w:bCs/>
          <w:spacing w:val="10"/>
        </w:rPr>
      </w:pPr>
      <w:r>
        <w:rPr>
          <w:b/>
          <w:b/>
          <w:bCs/>
          <w:spacing w:val="10"/>
          <w:rtl w:val="true"/>
        </w:rPr>
        <w:t>בהתאם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לכך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ולנוכח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ריבוי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מקרי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הירי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יש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לנקוט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במדיניות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מחמירה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החזקת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שלא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כדין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כמה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וכמה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שימוש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ופציעתם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קורבנות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שונים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עקב</w:t>
      </w:r>
      <w:r>
        <w:rPr>
          <w:rFonts w:cs="Times New Roman;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כך</w:t>
      </w:r>
      <w:r>
        <w:rPr>
          <w:b/>
          <w:bCs/>
          <w:spacing w:val="10"/>
          <w:rtl w:val="true"/>
        </w:rPr>
        <w:t>.</w:t>
      </w:r>
    </w:p>
    <w:p>
      <w:pPr>
        <w:pStyle w:val="Normal"/>
        <w:spacing w:lineRule="auto" w:line="360" w:before="0" w:after="0"/>
        <w:ind w:hanging="800" w:start="800" w:end="0"/>
        <w:contextualSpacing/>
        <w:jc w:val="both"/>
        <w:rPr>
          <w:rFonts w:ascii="Arial;Arial" w:hAnsi="Arial;Arial" w:cs="Arial;Arial"/>
          <w:u w:val="single"/>
        </w:rPr>
      </w:pPr>
      <w:r>
        <w:rPr>
          <w:rFonts w:eastAsia="Arial;Arial" w:cs="Arial;Arial" w:ascii="Arial;Arial" w:hAnsi="Arial;Arial"/>
          <w:rtl w:val="true"/>
        </w:rPr>
        <w:t xml:space="preserve">            </w:t>
      </w:r>
      <w:r>
        <w:rPr>
          <w:rFonts w:ascii="Arial;Arial" w:hAnsi="Arial;Arial" w:cs="Arial;Arial"/>
          <w:u w:val="single"/>
          <w:rtl w:val="true"/>
        </w:rPr>
        <w:t>נסיבות הקשורות בביצוע העבירות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;Arial" w:hAnsi="Arial;Arial" w:cs="Arial;Arial"/>
          <w:u w:val="single"/>
        </w:rPr>
      </w:pPr>
      <w:r>
        <w:rPr>
          <w:rFonts w:cs="Arial;Arial" w:ascii="Arial;Arial" w:hAnsi="Arial;Arial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>
          <w:rFonts w:ascii="Arial;Arial" w:hAnsi="Arial;Arial" w:cs="Arial;Arial"/>
          <w:sz w:val="22"/>
          <w:szCs w:val="22"/>
        </w:rPr>
      </w:pPr>
      <w:r>
        <w:rPr>
          <w:rFonts w:cs="Arial;Arial" w:ascii="Arial;Arial" w:hAnsi="Arial;Arial"/>
        </w:rPr>
        <w:t>6</w:t>
      </w:r>
      <w:r>
        <w:rPr>
          <w:rFonts w:cs="Arial;Arial" w:ascii="Arial;Arial" w:hAnsi="Arial;Arial"/>
          <w:rtl w:val="true"/>
        </w:rPr>
        <w:t xml:space="preserve">.        </w:t>
        <w:tab/>
      </w:r>
      <w:r>
        <w:rPr>
          <w:rFonts w:ascii="Arial;Arial" w:hAnsi="Arial;Arial" w:cs="Arial;Arial"/>
          <w:rtl w:val="true"/>
        </w:rPr>
        <w:t>הנאשם נמצא מחזיק ברכבו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בנצרת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אקדח ומחסנית תואמת ובה שלושה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עשר כדורים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5" w:start="795" w:end="0"/>
        <w:jc w:val="both"/>
        <w:rPr>
          <w:rFonts w:ascii="Arial;Arial" w:hAnsi="Arial;Arial" w:cs="Arial;Arial"/>
        </w:rPr>
      </w:pPr>
      <w:r>
        <w:rPr>
          <w:rFonts w:eastAsia="Arial;Arial"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אין ראיות על אודות משך החזקת הנשק ברכב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והסנגור טען כי מדובר ברכב חונה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>
          <w:rFonts w:ascii="Calibri;Times New Roman" w:hAnsi="Calibri;Times New Roman" w:cs="Calibri;Times New Roman"/>
        </w:rPr>
      </w:pPr>
      <w:r>
        <w:rPr>
          <w:rFonts w:ascii="Arial;Arial" w:hAnsi="Arial;Arial" w:cs="Arial;Arial"/>
          <w:rtl w:val="true"/>
        </w:rPr>
        <w:t>למעשי הנאשם ממד של פגיעה בערכים מוגנים של שלום הציבור וביטחונו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שכן לכל החזקת נשק בידי בלתי מורשה פוטנציאל נזק עצום לפגיעה בשלמות גופו ובחייו של אדם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ישנה משמעות טבועה וברורה מאליה להחזקתו של כלי ממית עם תחמושת תואמת לצדו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ומשמעות טבועה זו הנה כי אותו נשק נועד לפגיעה באחר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בדרך של ירי או למצער של איום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וכי קיים פוטנציאל מובהק לסיכון של הציבור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>
          <w:rFonts w:ascii="Arial;Arial" w:hAnsi="Arial;Arial" w:cs="Arial;Arial"/>
          <w:u w:val="single"/>
        </w:rPr>
      </w:pPr>
      <w:r>
        <w:rPr>
          <w:rFonts w:cs="Arial;Arial" w:ascii="Arial;Arial" w:hAnsi="Arial;Arial"/>
        </w:rPr>
        <w:t>7</w:t>
      </w:r>
      <w:r>
        <w:rPr>
          <w:rFonts w:cs="Arial;Arial" w:ascii="Arial;Arial" w:hAnsi="Arial;Arial"/>
          <w:rtl w:val="true"/>
        </w:rPr>
        <w:t xml:space="preserve">.        </w:t>
        <w:tab/>
      </w:r>
      <w:r>
        <w:rPr>
          <w:rFonts w:ascii="Arial;Arial" w:hAnsi="Arial;Arial" w:cs="Arial;Arial"/>
          <w:u w:val="single"/>
          <w:rtl w:val="true"/>
        </w:rPr>
        <w:t>מדיניות הענישה הנוהגת</w:t>
      </w:r>
    </w:p>
    <w:p>
      <w:pPr>
        <w:pStyle w:val="Normal"/>
        <w:spacing w:lineRule="auto" w:line="360"/>
        <w:ind w:start="795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בעבירות של </w:t>
      </w:r>
      <w:r>
        <w:rPr>
          <w:rFonts w:ascii="Arial;Arial" w:hAnsi="Arial;Arial" w:cs="Arial;Arial"/>
          <w:b/>
          <w:b/>
          <w:bCs/>
          <w:rtl w:val="true"/>
        </w:rPr>
        <w:t>החזקת 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השיתו בתי המשפט עונשים הנעים בין מספר חודשי מאסר לריצוי בעבודות שירות ועד למאסרים ממושכים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ובדרך כלל בצירוף רכיב עונשי כספי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הכל בכפוף לנסיבות ביצוע העבירות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ובהן סוג הנשק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נסיבות החזקתו ומשכה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ובכפוף לנסיבות האישיות של העבריין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start="795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start="795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הצדדים הפנו לפסקי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הדין הבאים</w:t>
      </w:r>
      <w:r>
        <w:rPr>
          <w:rFonts w:cs="Arial;Arial" w:ascii="Arial;Arial" w:hAnsi="Arial;Arial"/>
          <w:rtl w:val="true"/>
        </w:rPr>
        <w:t xml:space="preserve">: </w:t>
      </w:r>
    </w:p>
    <w:p>
      <w:pPr>
        <w:pStyle w:val="Normal"/>
        <w:spacing w:lineRule="auto" w:line="360"/>
        <w:ind w:start="795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Arial;Arial" w:hAnsi="Arial;Arial" w:cs="Arial;Arial"/>
        </w:rPr>
      </w:pPr>
      <w:hyperlink r:id="rId15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2822/12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דואהרי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25.4.12</w:t>
      </w:r>
      <w:r>
        <w:rPr>
          <w:rFonts w:cs="Arial;Arial" w:ascii="Arial;Arial" w:hAnsi="Arial;Arial"/>
          <w:rtl w:val="true"/>
        </w:rPr>
        <w:t xml:space="preserve">), </w:t>
      </w:r>
      <w:r>
        <w:rPr>
          <w:rFonts w:ascii="Arial;Arial" w:hAnsi="Arial;Arial" w:cs="Arial;Arial"/>
          <w:rtl w:val="true"/>
        </w:rPr>
        <w:t>אליו הפנה 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 – המבקש הורשע בעבירה של החזקת נשק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 xml:space="preserve">המשפט המחוזי קיבל את ערעור המדינה על קולת העונש </w:t>
      </w:r>
      <w:r>
        <w:rPr>
          <w:rFonts w:ascii="Arial;Arial" w:hAnsi="Arial;Arial" w:cs="Arial;Arial"/>
          <w:b/>
          <w:b/>
          <w:bCs/>
          <w:rtl w:val="true"/>
        </w:rPr>
        <w:t xml:space="preserve">והעמיד את עונשו על </w:t>
      </w:r>
      <w:r>
        <w:rPr>
          <w:rFonts w:cs="Arial;Arial" w:ascii="Arial;Arial" w:hAnsi="Arial;Arial"/>
          <w:b/>
          <w:bCs/>
        </w:rPr>
        <w:t>20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לריצוי בפועל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הופעל עונש מאסר על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 xml:space="preserve">תנאי בן </w:t>
      </w:r>
      <w:r>
        <w:rPr>
          <w:rFonts w:cs="Arial;Arial" w:ascii="Arial;Arial" w:hAnsi="Arial;Arial"/>
          <w:b/>
          <w:bCs/>
        </w:rPr>
        <w:t>10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חודשים שהיה תלוי ועומד נגדו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במצטבר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וכן הושת עונש מאסר על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 xml:space="preserve">תנאי בן </w:t>
      </w:r>
      <w:r>
        <w:rPr>
          <w:rFonts w:cs="Arial;Arial" w:ascii="Arial;Arial" w:hAnsi="Arial;Arial"/>
          <w:b/>
          <w:bCs/>
        </w:rPr>
        <w:t>12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חודשים</w:t>
      </w:r>
      <w:r>
        <w:rPr>
          <w:rFonts w:cs="Arial;Arial" w:ascii="Arial;Arial" w:hAnsi="Arial;Arial"/>
          <w:b/>
          <w:bCs/>
          <w:rtl w:val="true"/>
        </w:rPr>
        <w:t>.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בקשת רשות ערעור לעליון נדחתה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Arial;Arial" w:hAnsi="Arial;Arial" w:cs="Arial;Arial"/>
        </w:rPr>
      </w:pPr>
      <w:hyperlink r:id="rId16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5604/11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נאסר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5.10.11</w:t>
      </w:r>
      <w:r>
        <w:rPr>
          <w:rFonts w:cs="Arial;Arial" w:ascii="Arial;Arial" w:hAnsi="Arial;Arial"/>
          <w:rtl w:val="true"/>
        </w:rPr>
        <w:t xml:space="preserve">); </w:t>
      </w:r>
      <w:hyperlink r:id="rId17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12811-04-11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מדינת ישראל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נאסר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15.6.11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אליהם הפנה 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שם הנאשם הורשע בבית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המחוזי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פי הודאתו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בעבירה של החזקת 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לאחר שנמצא מחזיק אקדח בביתו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rtl w:val="true"/>
        </w:rPr>
        <w:t xml:space="preserve">נגזרו </w:t>
      </w:r>
      <w:r>
        <w:rPr>
          <w:rFonts w:cs="Arial;Arial" w:ascii="Arial;Arial" w:hAnsi="Arial;Arial"/>
          <w:b/>
          <w:bCs/>
        </w:rPr>
        <w:t>12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מאסר על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>תנאי וקנס</w:t>
      </w:r>
      <w:r>
        <w:rPr>
          <w:rFonts w:cs="Arial;Arial" w:ascii="Arial;Arial" w:hAnsi="Arial;Arial"/>
          <w:b/>
          <w:bCs/>
          <w:rtl w:val="true"/>
        </w:rPr>
        <w:t>.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ערעורו לבית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העליון נדחה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Arial;Arial" w:hAnsi="Arial;Arial" w:cs="Arial;Arial"/>
        </w:rPr>
      </w:pPr>
      <w:hyperlink r:id="rId18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3288/14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מדינת ישראל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קריספיל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24.8.14</w:t>
      </w:r>
      <w:r>
        <w:rPr>
          <w:rFonts w:cs="Arial;Arial" w:ascii="Arial;Arial" w:hAnsi="Arial;Arial"/>
          <w:rtl w:val="true"/>
        </w:rPr>
        <w:t xml:space="preserve">), </w:t>
      </w:r>
      <w:r>
        <w:rPr>
          <w:rFonts w:ascii="Arial;Arial" w:hAnsi="Arial;Arial" w:cs="Arial;Arial"/>
          <w:rtl w:val="true"/>
        </w:rPr>
        <w:t>אליו הפנה 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שם המשיב הורשע בעבירות של החזקת נשק והחזקת נכס החשוד כגנוב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לאחר שנמצא יוצא מבית כשבידו שקית ובה אקדח הטעון במחסנית ובה שבעה כדורים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אקדח שנגנב מבעליו כמה שנים קודם לכן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ולצדו משתיק קול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rtl w:val="true"/>
        </w:rPr>
        <w:t>בית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 xml:space="preserve">המשפט המחוזי קבע מתחם עונש הולם הנע בין </w:t>
      </w:r>
      <w:r>
        <w:rPr>
          <w:rFonts w:cs="Arial;Arial" w:ascii="Arial;Arial" w:hAnsi="Arial;Arial"/>
          <w:b/>
          <w:bCs/>
        </w:rPr>
        <w:t>6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cs="Arial;Arial" w:ascii="Arial;Arial" w:hAnsi="Arial;Arial"/>
          <w:b/>
          <w:bCs/>
        </w:rPr>
        <w:t>22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 xml:space="preserve">והטיל על המשיב </w:t>
      </w:r>
      <w:r>
        <w:rPr>
          <w:rFonts w:cs="Arial;Arial" w:ascii="Arial;Arial" w:hAnsi="Arial;Arial"/>
          <w:b/>
          <w:bCs/>
        </w:rPr>
        <w:t>9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מאסר על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>תנאי וקנס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העליון קיבל את ערעור המדינה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בהתחשב בחומרת נסיבות החזקת הנשק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והעמיד את עונשו של המשיב על </w:t>
      </w:r>
      <w:r>
        <w:rPr>
          <w:rFonts w:cs="Arial;Arial" w:ascii="Arial;Arial" w:hAnsi="Arial;Arial"/>
          <w:b/>
          <w:bCs/>
        </w:rPr>
        <w:t>18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Arial;Arial" w:hAnsi="Arial;Arial" w:cs="Arial;Arial"/>
        </w:rPr>
      </w:pPr>
      <w:hyperlink r:id="rId19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3632/14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אבו סבית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29.5.14</w:t>
      </w:r>
      <w:r>
        <w:rPr>
          <w:rFonts w:cs="Arial;Arial" w:ascii="Arial;Arial" w:hAnsi="Arial;Arial"/>
          <w:rtl w:val="true"/>
        </w:rPr>
        <w:t xml:space="preserve">), </w:t>
      </w:r>
      <w:r>
        <w:rPr>
          <w:rFonts w:ascii="Arial;Arial" w:hAnsi="Arial;Arial" w:cs="Arial;Arial"/>
          <w:rtl w:val="true"/>
        </w:rPr>
        <w:t>אליו הפנה 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שם נקבע מתחם עונש הולם הנע </w:t>
      </w:r>
      <w:r>
        <w:rPr>
          <w:rFonts w:ascii="Arial;Arial" w:hAnsi="Arial;Arial" w:cs="Arial;Arial"/>
          <w:b/>
          <w:b/>
          <w:bCs/>
          <w:rtl w:val="true"/>
        </w:rPr>
        <w:t>בין שנה לשלוש שנות מאסר</w:t>
      </w:r>
      <w:r>
        <w:rPr>
          <w:rFonts w:ascii="Arial;Arial" w:hAnsi="Arial;Arial" w:cs="Arial;Arial"/>
          <w:rtl w:val="true"/>
        </w:rPr>
        <w:t xml:space="preserve"> בעבירה של החזקת 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והוטלו </w:t>
      </w:r>
      <w:r>
        <w:rPr>
          <w:rFonts w:cs="Arial;Arial" w:ascii="Arial;Arial" w:hAnsi="Arial;Arial"/>
          <w:b/>
          <w:bCs/>
        </w:rPr>
        <w:t>18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Arial;Arial" w:hAnsi="Arial;Arial" w:cs="Arial;Arial"/>
        </w:rPr>
      </w:pPr>
      <w:hyperlink r:id="rId20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37217-03-19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ג</w:t>
      </w:r>
      <w:r>
        <w:rPr>
          <w:rFonts w:cs="Arial;Arial" w:ascii="Arial;Arial" w:hAnsi="Arial;Arial"/>
          <w:b/>
          <w:bCs/>
          <w:rtl w:val="true"/>
        </w:rPr>
        <w:t>'</w:t>
      </w:r>
      <w:r>
        <w:rPr>
          <w:rFonts w:ascii="Arial;Arial" w:hAnsi="Arial;Arial" w:cs="Arial;Arial"/>
          <w:b/>
          <w:b/>
          <w:bCs/>
          <w:rtl w:val="true"/>
        </w:rPr>
        <w:t>ואברה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25.11.19</w:t>
      </w:r>
      <w:r>
        <w:rPr>
          <w:rFonts w:cs="Arial;Arial" w:ascii="Arial;Arial" w:hAnsi="Arial;Arial"/>
          <w:rtl w:val="true"/>
        </w:rPr>
        <w:t xml:space="preserve">), </w:t>
      </w:r>
      <w:r>
        <w:rPr>
          <w:rFonts w:ascii="Arial;Arial" w:hAnsi="Arial;Arial" w:cs="Arial;Arial"/>
          <w:rtl w:val="true"/>
        </w:rPr>
        <w:t>אליו הפנה 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 – שם המערער החזיק באקדח חצי אוטומטי בשידה ליד מיטתו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 xml:space="preserve">משפט השלום קבע </w:t>
      </w:r>
      <w:r>
        <w:rPr>
          <w:rFonts w:ascii="Arial;Arial" w:hAnsi="Arial;Arial" w:cs="Arial;Arial"/>
          <w:b/>
          <w:b/>
          <w:bCs/>
          <w:rtl w:val="true"/>
        </w:rPr>
        <w:t xml:space="preserve">מתחם עונש הולם הנע בין </w:t>
      </w:r>
      <w:r>
        <w:rPr>
          <w:rFonts w:cs="Arial;Arial" w:ascii="Arial;Arial" w:hAnsi="Arial;Arial"/>
          <w:b/>
          <w:bCs/>
        </w:rPr>
        <w:t>6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cs="Arial;Arial" w:ascii="Arial;Arial" w:hAnsi="Arial;Arial"/>
          <w:b/>
          <w:bCs/>
        </w:rPr>
        <w:t>24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 xml:space="preserve">והטיל עליו </w:t>
      </w:r>
      <w:r>
        <w:rPr>
          <w:rFonts w:cs="Arial;Arial" w:ascii="Arial;Arial" w:hAnsi="Arial;Arial"/>
          <w:b/>
          <w:bCs/>
        </w:rPr>
        <w:t>8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 בניכוי ימי המעצר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cs="Arial;Arial" w:ascii="Arial;Arial" w:hAnsi="Arial;Arial"/>
          <w:b/>
          <w:bCs/>
        </w:rPr>
        <w:t>12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על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>תנאי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וקנס כספי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המחוזי קבע כי אין מקום להתערב במתחם העונש ההולם שנקבע ובעונש שנקבע בתוכו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ודחה את ערעורו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Arial;Arial" w:hAnsi="Arial;Arial" w:cs="Arial;Arial"/>
        </w:rPr>
      </w:pPr>
      <w:hyperlink r:id="rId21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4978/19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אבו מנסור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28.1.20</w:t>
      </w:r>
      <w:r>
        <w:rPr>
          <w:rFonts w:cs="Arial;Arial" w:ascii="Arial;Arial" w:hAnsi="Arial;Arial"/>
          <w:rtl w:val="true"/>
        </w:rPr>
        <w:t xml:space="preserve">), </w:t>
      </w:r>
      <w:r>
        <w:rPr>
          <w:rFonts w:ascii="Arial;Arial" w:hAnsi="Arial;Arial" w:cs="Arial;Arial"/>
          <w:rtl w:val="true"/>
        </w:rPr>
        <w:t>אליו הפנה 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הנאשם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שם דובר בשני אחים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שברכבם נמצאו רובה סער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ושתי מחסניות ובהן </w:t>
      </w:r>
      <w:r>
        <w:rPr>
          <w:rFonts w:cs="Arial;Arial" w:ascii="Arial;Arial" w:hAnsi="Arial;Arial"/>
        </w:rPr>
        <w:t>26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ו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27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כדורים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שתי מחסניות המתאימות לאקדח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שלושה כדורים ומכלול לנשק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 xml:space="preserve">המערער </w:t>
      </w:r>
      <w:r>
        <w:rPr>
          <w:rFonts w:cs="Arial;Arial" w:ascii="Arial;Arial" w:hAnsi="Arial;Arial"/>
        </w:rPr>
        <w:t>1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הורשע בעבירה של נשיאה והובלת נשק ומערער </w:t>
      </w:r>
      <w:r>
        <w:rPr>
          <w:rFonts w:cs="Arial;Arial" w:ascii="Arial;Arial" w:hAnsi="Arial;Arial"/>
        </w:rPr>
        <w:t>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הורשע בהחזקת נשק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 xml:space="preserve">בבית המשפט המחוזי </w:t>
      </w:r>
      <w:r>
        <w:rPr>
          <w:rFonts w:ascii="Arial;Arial" w:hAnsi="Arial;Arial" w:cs="Arial;Arial"/>
          <w:b/>
          <w:b/>
          <w:bCs/>
          <w:rtl w:val="true"/>
        </w:rPr>
        <w:t>נדון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המערער </w:t>
      </w:r>
      <w:r>
        <w:rPr>
          <w:rFonts w:cs="Arial;Arial" w:ascii="Arial;Arial" w:hAnsi="Arial;Arial"/>
          <w:b/>
          <w:bCs/>
        </w:rPr>
        <w:t>1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cs="Arial;Arial" w:ascii="Arial;Arial" w:hAnsi="Arial;Arial"/>
          <w:b/>
          <w:bCs/>
        </w:rPr>
        <w:t>18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חודשי מאסר בפועל ואילו המערער </w:t>
      </w:r>
      <w:r>
        <w:rPr>
          <w:rFonts w:cs="Arial;Arial" w:ascii="Arial;Arial" w:hAnsi="Arial;Arial"/>
          <w:b/>
          <w:bCs/>
        </w:rPr>
        <w:t>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נדון 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cs="Arial;Arial" w:ascii="Arial;Arial" w:hAnsi="Arial;Arial"/>
          <w:b/>
          <w:bCs/>
        </w:rPr>
        <w:t>9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לריצוי בעבודות שירות</w:t>
      </w:r>
      <w:r>
        <w:rPr>
          <w:rFonts w:cs="Arial;Arial" w:ascii="Arial;Arial" w:hAnsi="Arial;Arial"/>
          <w:b/>
          <w:bCs/>
          <w:rtl w:val="true"/>
        </w:rPr>
        <w:t>.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העליון מצא לקבל את הערעור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ולהטיל על מערער </w:t>
      </w:r>
      <w:r>
        <w:rPr>
          <w:rFonts w:cs="Arial;Arial" w:ascii="Arial;Arial" w:hAnsi="Arial;Arial"/>
        </w:rPr>
        <w:t>1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משיקולי שיקום ובהם – העדר עבר פלילי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הודאה וקבלת אחריות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הליך טיפולי מוצלח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הערכת סיכון נמוכה ותסקירי שירות מבחן חיוביים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cs="Arial;Arial" w:ascii="Arial;Arial" w:hAnsi="Arial;Arial"/>
          <w:b/>
          <w:bCs/>
        </w:rPr>
        <w:t>12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חרף ההמלצה להימנע מהטלת מאסר מאחורי סורג ובריח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לשם שמירה על מדרג עונשים הולם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הועמד עונשו של מערער </w:t>
      </w:r>
      <w:r>
        <w:rPr>
          <w:rFonts w:cs="Arial;Arial" w:ascii="Arial;Arial" w:hAnsi="Arial;Arial"/>
        </w:rPr>
        <w:t>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על </w:t>
      </w:r>
      <w:r>
        <w:rPr>
          <w:rFonts w:cs="Arial;Arial" w:ascii="Arial;Arial" w:hAnsi="Arial;Arial"/>
          <w:b/>
          <w:bCs/>
        </w:rPr>
        <w:t>6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לריצוי בעבודות שירות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ניתן לעיין בנוסף בפסקי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הדין הבאים</w:t>
      </w:r>
      <w:r>
        <w:rPr>
          <w:rFonts w:cs="Arial;Arial" w:ascii="Arial;Arial" w:hAnsi="Arial;Arial"/>
          <w:rtl w:val="true"/>
        </w:rPr>
        <w:t>:</w:t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א</w:t>
      </w:r>
      <w:r>
        <w:rPr>
          <w:rFonts w:cs="Arial;Arial" w:ascii="Arial;Arial" w:hAnsi="Arial;Arial"/>
          <w:rtl w:val="true"/>
        </w:rPr>
        <w:t xml:space="preserve">.        </w:t>
      </w:r>
      <w:hyperlink r:id="rId22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7344/18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מג</w:t>
      </w:r>
      <w:r>
        <w:rPr>
          <w:rFonts w:cs="Arial;Arial" w:ascii="Arial;Arial" w:hAnsi="Arial;Arial"/>
          <w:b/>
          <w:bCs/>
          <w:rtl w:val="true"/>
        </w:rPr>
        <w:t>'</w:t>
      </w:r>
      <w:r>
        <w:rPr>
          <w:rFonts w:ascii="Arial;Arial" w:hAnsi="Arial;Arial" w:cs="Arial;Arial"/>
          <w:b/>
          <w:b/>
          <w:bCs/>
          <w:rtl w:val="true"/>
        </w:rPr>
        <w:t>יד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 xml:space="preserve">– </w:t>
      </w:r>
      <w:r>
        <w:rPr>
          <w:rFonts w:ascii="Arial;Arial" w:hAnsi="Arial;Arial" w:cs="Arial;Arial"/>
          <w:rtl w:val="true"/>
        </w:rPr>
        <w:t>בעניינו של המבקש נקבע בבית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 xml:space="preserve">משפט השלום כי מתחם העונש ההולם בעבירה של החזקת נשק נע בין </w:t>
      </w:r>
      <w:r>
        <w:rPr>
          <w:rFonts w:cs="Arial;Arial" w:ascii="Arial;Arial" w:hAnsi="Arial;Arial"/>
        </w:rPr>
        <w:t>6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ל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24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אך נוכח קיומם של סיכויי שיקום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הוטלו על הנאשם עונש של </w:t>
      </w:r>
      <w:r>
        <w:rPr>
          <w:rFonts w:cs="Arial;Arial" w:ascii="Arial;Arial" w:hAnsi="Arial;Arial"/>
        </w:rPr>
        <w:t>6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לריצוי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צו מבחן ועונשים נלווים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המחוזי קיבל את ערעור המדינה על קולת העונש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בקבעו כי העונש סוטה באופן ברור לקולא ממדיניות הענישה הראויה בנסיבות המקרה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 xml:space="preserve">והעמיד את עונשו של המבקש על </w:t>
      </w:r>
      <w:r>
        <w:rPr>
          <w:rFonts w:cs="Arial;Arial" w:ascii="Arial;Arial" w:hAnsi="Arial;Arial"/>
          <w:b/>
          <w:bCs/>
        </w:rPr>
        <w:t>8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בקשת רשות ערעור לעליון נדחתה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.</w:t>
        <w:tab/>
      </w:r>
      <w:hyperlink r:id="rId23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53396-06-13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זועבי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29.10.13</w:t>
      </w:r>
      <w:r>
        <w:rPr>
          <w:rFonts w:cs="Arial;Arial" w:ascii="Arial;Arial" w:hAnsi="Arial;Arial"/>
          <w:rtl w:val="true"/>
        </w:rPr>
        <w:t xml:space="preserve">) – </w:t>
      </w:r>
      <w:r>
        <w:rPr>
          <w:rFonts w:ascii="Arial;Arial" w:hAnsi="Arial;Arial" w:cs="Arial;Arial"/>
          <w:rtl w:val="true"/>
        </w:rPr>
        <w:t>המערער הורשע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על פי הודאתו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בעבירות של החזקת נשק והחזקת תחמושת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לאחר שהסתיר תיק ובו אקדח ותחמושת בחדר בביתו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rtl w:val="true"/>
        </w:rPr>
        <w:t>בית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 xml:space="preserve">משפט השלום קבע מתחם עונש הולם הנע בין </w:t>
      </w:r>
      <w:r>
        <w:rPr>
          <w:rFonts w:cs="Arial;Arial" w:ascii="Arial;Arial" w:hAnsi="Arial;Arial"/>
          <w:b/>
          <w:bCs/>
        </w:rPr>
        <w:t>8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cs="Arial;Arial" w:ascii="Arial;Arial" w:hAnsi="Arial;Arial"/>
          <w:b/>
          <w:bCs/>
        </w:rPr>
        <w:t>16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חודשי מאסר בפועל וגזר עליו </w:t>
      </w:r>
      <w:r>
        <w:rPr>
          <w:rFonts w:cs="Arial;Arial" w:ascii="Arial;Arial" w:hAnsi="Arial;Arial"/>
          <w:b/>
          <w:bCs/>
        </w:rPr>
        <w:t>10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cs="Arial;Arial" w:ascii="Arial;Arial" w:hAnsi="Arial;Arial"/>
          <w:b/>
          <w:bCs/>
        </w:rPr>
        <w:t>10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על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 xml:space="preserve">תנאי וקנס בסך </w:t>
      </w:r>
      <w:r>
        <w:rPr>
          <w:rFonts w:cs="Arial;Arial" w:ascii="Arial;Arial" w:hAnsi="Arial;Arial"/>
          <w:b/>
          <w:bCs/>
        </w:rPr>
        <w:t>5,000</w:t>
      </w:r>
      <w:r>
        <w:rPr>
          <w:rFonts w:cs="Arial;Arial" w:ascii="Arial;Arial" w:hAnsi="Arial;Arial"/>
          <w:b/>
          <w:bCs/>
          <w:rtl w:val="true"/>
        </w:rPr>
        <w:t xml:space="preserve"> ₪.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המשפט המחוזי קבע כי עונש המאסר שהושת מחמיר עם המערער יתר על המידה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ואינו משקלל נכונה את מקבץ הנסיבות לקולא הקמות בעניינו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והעמיד את עונשו על </w:t>
      </w:r>
      <w:r>
        <w:rPr>
          <w:rFonts w:cs="Arial;Arial" w:ascii="Arial;Arial" w:hAnsi="Arial;Arial"/>
          <w:b/>
          <w:bCs/>
        </w:rPr>
        <w:t>7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ג</w:t>
      </w:r>
      <w:r>
        <w:rPr>
          <w:rFonts w:cs="Arial;Arial" w:ascii="Arial;Arial" w:hAnsi="Arial;Arial"/>
          <w:rtl w:val="true"/>
        </w:rPr>
        <w:t xml:space="preserve">.        </w:t>
      </w:r>
      <w:hyperlink r:id="rId24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1505/14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לידאוי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4.11.14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על המערער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בן </w:t>
      </w:r>
      <w:r>
        <w:rPr>
          <w:rFonts w:cs="Arial;Arial" w:ascii="Arial;Arial" w:hAnsi="Arial;Arial"/>
        </w:rPr>
        <w:t>60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וללא עבר מכביד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שהורשע בעבירות של החזקת נשק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הפרעה לשוטר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והחזקת רכוש החשוד כגנוב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לאחר שהחזיק בביתו אקדח החשוד כגנוב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נגזרו </w:t>
      </w:r>
      <w:r>
        <w:rPr>
          <w:rFonts w:cs="Arial;Arial" w:ascii="Arial;Arial" w:hAnsi="Arial;Arial"/>
        </w:rPr>
        <w:t>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מאסרים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 xml:space="preserve">תנאי וקנס בסך </w:t>
      </w:r>
      <w:r>
        <w:rPr>
          <w:rFonts w:cs="Arial;Arial" w:ascii="Arial;Arial" w:hAnsi="Arial;Arial"/>
        </w:rPr>
        <w:t>5,000</w:t>
      </w:r>
      <w:r>
        <w:rPr>
          <w:rFonts w:cs="Arial;Arial" w:ascii="Arial;Arial" w:hAnsi="Arial;Arial"/>
          <w:rtl w:val="true"/>
        </w:rPr>
        <w:t xml:space="preserve"> ₪. </w:t>
      </w:r>
      <w:r>
        <w:rPr>
          <w:rFonts w:ascii="Arial;Arial" w:hAnsi="Arial;Arial" w:cs="Arial;Arial"/>
          <w:rtl w:val="true"/>
        </w:rPr>
        <w:t>בית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 xml:space="preserve">המשפט המחוזי קבע בנסיבות העבירות מתחם עונש הולם הנע בין </w:t>
      </w:r>
      <w:r>
        <w:rPr>
          <w:rFonts w:cs="Arial;Arial" w:ascii="Arial;Arial" w:hAnsi="Arial;Arial"/>
        </w:rPr>
        <w:t>7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ל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24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rtl w:val="true"/>
        </w:rPr>
        <w:t>בית</w:t>
      </w:r>
      <w:r>
        <w:rPr>
          <w:rFonts w:cs="Arial;Arial" w:ascii="Arial;Arial" w:hAnsi="Arial;Arial"/>
          <w:b/>
          <w:bCs/>
          <w:rtl w:val="true"/>
        </w:rPr>
        <w:t>-</w:t>
      </w:r>
      <w:r>
        <w:rPr>
          <w:rFonts w:ascii="Arial;Arial" w:hAnsi="Arial;Arial" w:cs="Arial;Arial"/>
          <w:b/>
          <w:b/>
          <w:bCs/>
          <w:rtl w:val="true"/>
        </w:rPr>
        <w:t>המשפט העליון קיבל את הערעור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באופן חלקי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והעמיד את עונשו של המערער על ששה חודשי מאסר לריצוי בעבודות שירות</w:t>
      </w:r>
      <w:r>
        <w:rPr>
          <w:rFonts w:cs="Arial;Arial" w:ascii="Arial;Arial" w:hAnsi="Arial;Arial"/>
          <w:b/>
          <w:bCs/>
          <w:rtl w:val="true"/>
        </w:rPr>
        <w:t>.</w:t>
      </w:r>
      <w:r>
        <w:rPr>
          <w:rFonts w:cs="Arial;Arial" w:ascii="Arial;Arial" w:hAnsi="Arial;Arial"/>
          <w:rtl w:val="true"/>
        </w:rPr>
        <w:t xml:space="preserve"> </w:t>
      </w:r>
    </w:p>
    <w:p>
      <w:pPr>
        <w:pStyle w:val="Normal"/>
        <w:spacing w:lineRule="auto" w:line="360"/>
        <w:ind w:hanging="645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Arial" w:hAnsi="Arial;Arial" w:cs="Arial;Arial"/>
          <w:b/>
          <w:bCs/>
        </w:rPr>
      </w:pPr>
      <w:r>
        <w:rPr>
          <w:rFonts w:cs="Arial;Arial" w:ascii="Arial;Arial" w:hAnsi="Arial;Arial"/>
        </w:rPr>
        <w:t>8</w:t>
      </w:r>
      <w:r>
        <w:rPr>
          <w:rFonts w:cs="Arial;Arial" w:ascii="Arial;Arial" w:hAnsi="Arial;Arial"/>
          <w:rtl w:val="true"/>
        </w:rPr>
        <w:t>.</w:t>
      </w:r>
      <w:r>
        <w:rPr>
          <w:rFonts w:cs="Arial;Arial" w:ascii="Arial;Arial" w:hAnsi="Arial;Arial"/>
          <w:b/>
          <w:bCs/>
          <w:rtl w:val="true"/>
        </w:rPr>
        <w:t xml:space="preserve">       </w:t>
        <w:tab/>
      </w:r>
      <w:r>
        <w:rPr>
          <w:rFonts w:ascii="Arial;Arial" w:hAnsi="Arial;Arial" w:cs="Arial;Arial"/>
          <w:b/>
          <w:b/>
          <w:bCs/>
          <w:rtl w:val="true"/>
        </w:rPr>
        <w:t>ראינו אם כך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כי רק במקרים יוצאי דופן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שעניינם בשיקולי שיקום חריגים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נעשית סטייה מרמת ענישה המתחילה במאסר ממושך</w:t>
      </w:r>
      <w:r>
        <w:rPr>
          <w:rFonts w:cs="Arial;Arial" w:ascii="Arial;Arial" w:hAnsi="Arial;Arial"/>
          <w:b/>
          <w:bCs/>
          <w:rtl w:val="true"/>
        </w:rPr>
        <w:t xml:space="preserve">. </w:t>
      </w:r>
      <w:r>
        <w:rPr>
          <w:rFonts w:ascii="Arial;Arial" w:hAnsi="Arial;Arial" w:cs="Arial;Arial"/>
          <w:b/>
          <w:b/>
          <w:bCs/>
          <w:rtl w:val="true"/>
        </w:rPr>
        <w:t>נוכח המפורט לעיל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ובשים לב למגמה ברורה של בית המשפט העליון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לפיה יש להחמיר בענישה בגין עבירות נשק</w:t>
      </w:r>
      <w:r>
        <w:rPr>
          <w:rFonts w:cs="Arial;Arial" w:ascii="Arial;Arial" w:hAnsi="Arial;Arial"/>
          <w:b/>
          <w:bCs/>
          <w:rtl w:val="true"/>
        </w:rPr>
        <w:t xml:space="preserve">,  </w:t>
      </w:r>
      <w:r>
        <w:rPr>
          <w:rFonts w:ascii="Arial;Arial" w:hAnsi="Arial;Arial" w:cs="Arial;Arial"/>
          <w:b/>
          <w:b/>
          <w:bCs/>
          <w:rtl w:val="true"/>
        </w:rPr>
        <w:t>אני קובעת כי מתחם העונש ההולם בנסיבות ביצוע העבירה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 xml:space="preserve">נע בין </w:t>
      </w:r>
      <w:r>
        <w:rPr>
          <w:rFonts w:cs="Arial;Arial" w:ascii="Arial;Arial" w:hAnsi="Arial;Arial"/>
          <w:b/>
          <w:bCs/>
        </w:rPr>
        <w:t>12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לבין </w:t>
      </w:r>
      <w:r>
        <w:rPr>
          <w:rFonts w:cs="Arial;Arial" w:ascii="Arial;Arial" w:hAnsi="Arial;Arial"/>
          <w:b/>
          <w:bCs/>
        </w:rPr>
        <w:t>24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חודשי מאסר בפועל</w:t>
      </w:r>
      <w:r>
        <w:rPr>
          <w:rFonts w:cs="Arial;Arial" w:ascii="Arial;Arial" w:hAnsi="Arial;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cs="Arial;Arial" w:ascii="Arial;Arial" w:hAnsi="Arial;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ascii="Arial;Arial" w:hAnsi="Arial;Arial" w:cs="Arial;Arial"/>
          <w:b/>
          <w:b/>
          <w:bCs/>
          <w:u w:val="single"/>
          <w:rtl w:val="true"/>
        </w:rPr>
        <w:t>גזירת עונשו של הנאשם</w:t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cs="Arial;Arial" w:ascii="Arial;Arial" w:hAnsi="Arial;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9</w:t>
      </w:r>
      <w:r>
        <w:rPr>
          <w:rFonts w:cs="Arial;Arial" w:ascii="Arial;Arial" w:hAnsi="Arial;Arial"/>
          <w:rtl w:val="true"/>
        </w:rPr>
        <w:t>.</w:t>
      </w:r>
      <w:r>
        <w:rPr>
          <w:rFonts w:cs="Arial;Arial" w:ascii="Arial;Arial" w:hAnsi="Arial;Arial"/>
          <w:b/>
          <w:bCs/>
          <w:rtl w:val="true"/>
        </w:rPr>
        <w:t xml:space="preserve">  </w:t>
      </w:r>
      <w:r>
        <w:rPr>
          <w:rFonts w:cs="Arial;Arial" w:ascii="Arial;Arial" w:hAnsi="Arial;Arial"/>
          <w:rtl w:val="true"/>
        </w:rPr>
        <w:t xml:space="preserve">     </w:t>
        <w:tab/>
      </w:r>
      <w:r>
        <w:rPr>
          <w:rFonts w:ascii="Arial;Arial" w:hAnsi="Arial;Arial" w:cs="Arial;Arial"/>
          <w:rtl w:val="true"/>
        </w:rPr>
        <w:t xml:space="preserve">הנאשם בן </w:t>
      </w:r>
      <w:r>
        <w:rPr>
          <w:rFonts w:cs="Arial;Arial" w:ascii="Arial;Arial" w:hAnsi="Arial;Arial"/>
        </w:rPr>
        <w:t>46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הודה במסגרת הסדר טיעון ונטל אחריות ובכך חסך זמן ציבורי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הנאשם נשוי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אב לחמישה ילדים ומפרנסה העיקרי של משפחתו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הנאשם שוהה במעצר עד תום ההליכים מאז </w:t>
      </w:r>
      <w:r>
        <w:rPr>
          <w:rFonts w:cs="Arial;Arial" w:ascii="Arial;Arial" w:hAnsi="Arial;Arial"/>
        </w:rPr>
        <w:t>6.10.19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אין לחובת הנאשם עבר פלילי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אין בפניי תסקיר שירות המבחן להערכת רמת סיכון וסיכויי שיקום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כך שאין מקום לחריגה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בנסיבות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ממתחם העונש ההולם משיקולים אלה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יחד עם זאת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יש לקחת בחשבון את הסדר הטיעון במסגרתו הנאשם הודה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ולפיו הגבילה עצמה המאשימה לטיעון של שנת מאסר בפועל בלבד כעונש ראוי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מצאתי כי ראוי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בסופו של דבר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ועל אף שמדובר בענישה החורגת מעט ממתחם העונש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לבוא לקראת הנאשם בגדרי הסדר הטיעון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ולגזור עליו עונש הנמוך במעט מהעונש אליו עתרה המאשימה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10</w:t>
      </w:r>
      <w:r>
        <w:rPr>
          <w:rFonts w:cs="Arial;Arial" w:ascii="Arial;Arial" w:hAnsi="Arial;Arial"/>
          <w:rtl w:val="true"/>
        </w:rPr>
        <w:t>.</w:t>
        <w:tab/>
      </w: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הנאשם הפנה בטיעוניו לעונש לעניינו של נאשם אחר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שהורשע בהתאם להודאתו שנמסרה במסגרת הסדר טיעון אשר כלל הסכמה לעניין העונש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באחזקת אקדח 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ברטה</w:t>
      </w:r>
      <w:r>
        <w:rPr>
          <w:rFonts w:cs="Arial;Arial" w:ascii="Arial;Arial" w:hAnsi="Arial;Arial"/>
          <w:rtl w:val="true"/>
        </w:rPr>
        <w:t xml:space="preserve">", </w:t>
      </w:r>
      <w:r>
        <w:rPr>
          <w:rFonts w:ascii="Arial;Arial" w:hAnsi="Arial;Arial" w:cs="Arial;Arial"/>
          <w:rtl w:val="true"/>
        </w:rPr>
        <w:t>מחסנית מלאה בכדורים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כדורים בתפזורת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בקטנועו החונה בתחנת דלק בנצרת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והוטלו עליו </w:t>
      </w:r>
      <w:r>
        <w:rPr>
          <w:rFonts w:cs="Arial;Arial" w:ascii="Arial;Arial" w:hAnsi="Arial;Arial"/>
        </w:rPr>
        <w:t>12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בפועל ועוד יום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בניכוי ימי המעצר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cs="Arial;Arial" w:ascii="Arial;Arial" w:hAnsi="Arial;Arial"/>
        </w:rPr>
        <w:t>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תנאי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וקנס בסך </w:t>
      </w:r>
      <w:r>
        <w:rPr>
          <w:rFonts w:cs="Arial;Arial" w:ascii="Arial;Arial" w:hAnsi="Arial;Arial"/>
        </w:rPr>
        <w:t>8,000</w:t>
      </w:r>
      <w:r>
        <w:rPr>
          <w:rFonts w:cs="Arial;Arial" w:ascii="Arial;Arial" w:hAnsi="Arial;Arial"/>
          <w:rtl w:val="true"/>
        </w:rPr>
        <w:t xml:space="preserve"> ₪. </w:t>
      </w:r>
      <w:r>
        <w:rPr>
          <w:rFonts w:ascii="Arial;Arial" w:hAnsi="Arial;Arial" w:cs="Arial;Arial"/>
          <w:rtl w:val="true"/>
        </w:rPr>
        <w:t>בפרוטוקול הדיון צוין כי לנאשם עבר פלילי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שאינו בעבירות נשק </w:t>
      </w:r>
      <w:r>
        <w:rPr>
          <w:rFonts w:cs="Arial;Arial" w:ascii="Arial;Arial" w:hAnsi="Arial;Arial"/>
          <w:rtl w:val="true"/>
        </w:rPr>
        <w:t>(</w:t>
      </w:r>
      <w:hyperlink r:id="rId25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21066-10-19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מדינת ישראל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חמד</w:t>
      </w:r>
      <w:r>
        <w:rPr>
          <w:rFonts w:ascii="Arial;Arial" w:hAnsi="Arial;Arial" w:cs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22.1.20</w:t>
      </w:r>
      <w:r>
        <w:rPr>
          <w:rFonts w:cs="Arial;Arial" w:ascii="Arial;Arial" w:hAnsi="Arial;Arial"/>
          <w:rtl w:val="true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הנאשם כאן ביקש להבחין בין עניינו של הנאשם כאן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לו אין עבר פלילי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ובין עניינו של אותו נאשם והעונש שהוטל עליו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 המאשימה השיב כי במסגרת הסדר הטיעון בעניינו של אותו נאשם דובר אמנם בנאשם שלא היה לו עבר פלילי מכביד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והעונש אוזן בהטלת קנס משמעותי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וכי הסדר הטיעון הושג בעקבות קשיים ראייתיים משמעותיים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לא מצאתי כי עניינו של אותו נאשם שנשפט לשנת מאסר מחייב הקלה יחסית עם הנאשם כאן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וזאת כי מדובר בהסדר טיעון נפרד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שבו נשקלו שיקולים לא ידועים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בהם שיקולי ראיות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לא ראיתי טעם בהשוואתו של אותו מקרה דווקא לענייננו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והראי ברור שכל מקרה ומקרה מתייחד לפי נסיבותיו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11</w:t>
      </w:r>
      <w:r>
        <w:rPr>
          <w:rFonts w:cs="Arial;Arial" w:ascii="Arial;Arial" w:hAnsi="Arial;Arial"/>
          <w:rtl w:val="true"/>
        </w:rPr>
        <w:t xml:space="preserve">.       </w:t>
        <w:tab/>
      </w:r>
      <w:r>
        <w:rPr>
          <w:rFonts w:ascii="Arial;Arial" w:hAnsi="Arial;Arial" w:cs="Arial;Arial"/>
          <w:rtl w:val="true"/>
        </w:rPr>
        <w:t>בתוך מתחם העונש ההולם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אתחשב בנסיבותיו האישיות של הנאשם כפי שהובאו בטיעונים לעונש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העדר עבר פלילי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תקופת השהות במעצר עד תום ההליכים והפגיעה בנאשם ובמשפחתו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בנוסף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כאמור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אתן משקל לכך שהמאשימה הגבילה עצמה בהסדר הטיעון לתחתית המתחם העונשי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לשם הקלה בלתי משמעותית בעונש</w:t>
      </w:r>
      <w:r>
        <w:rPr>
          <w:rFonts w:cs="Arial;Arial" w:ascii="Arial;Arial" w:hAnsi="Arial;Arial"/>
          <w:rtl w:val="true"/>
        </w:rPr>
        <w:t xml:space="preserve">.  </w:t>
      </w:r>
    </w:p>
    <w:p>
      <w:pPr>
        <w:pStyle w:val="Normal"/>
        <w:spacing w:lineRule="auto" w:line="252" w:before="0" w:after="0"/>
        <w:ind w:hanging="424" w:start="424" w:end="0"/>
        <w:contextualSpacing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ascii="Arial;Arial" w:hAnsi="Arial;Arial" w:cs="Arial;Arial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  <w:b/>
          <w:bCs/>
          <w:u w:val="single"/>
        </w:rPr>
      </w:pPr>
      <w:r>
        <w:rPr>
          <w:rFonts w:cs="Arial;Arial" w:ascii="Arial;Arial" w:hAnsi="Arial;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12</w:t>
      </w:r>
      <w:r>
        <w:rPr>
          <w:rFonts w:cs="Arial;Arial" w:ascii="Arial;Arial" w:hAnsi="Arial;Arial"/>
          <w:rtl w:val="true"/>
        </w:rPr>
        <w:t xml:space="preserve">.  </w:t>
        <w:tab/>
        <w:tab/>
      </w:r>
      <w:r>
        <w:rPr>
          <w:rFonts w:ascii="Arial;Arial" w:hAnsi="Arial;Arial" w:cs="Arial;Arial"/>
          <w:rtl w:val="true"/>
        </w:rPr>
        <w:t>נוכח כל האמור לעיל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אני גוזרת את עונשו של הנאשם כדלקמן</w:t>
      </w:r>
      <w:r>
        <w:rPr>
          <w:rFonts w:cs="Arial;Arial" w:ascii="Arial;Arial" w:hAnsi="Arial;Arial"/>
          <w:rtl w:val="true"/>
        </w:rPr>
        <w:t>:</w:t>
      </w:r>
    </w:p>
    <w:p>
      <w:pPr>
        <w:pStyle w:val="Normal"/>
        <w:spacing w:lineRule="auto" w:line="360"/>
        <w:ind w:hanging="424" w:start="424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firstLine="424" w:end="0"/>
        <w:jc w:val="both"/>
        <w:rPr>
          <w:rFonts w:ascii="Calibri;Times New Roman" w:hAnsi="Calibri;Times New Roman" w:cs="Calibri;Times New Roman"/>
        </w:rPr>
      </w:pPr>
      <w:r>
        <w:rPr>
          <w:rFonts w:eastAsia="Arial;Arial" w:cs="Arial;Arial" w:ascii="Arial;Arial" w:hAnsi="Arial;Arial"/>
          <w:rtl w:val="true"/>
        </w:rPr>
        <w:t xml:space="preserve">       </w:t>
      </w:r>
      <w:r>
        <w:rPr>
          <w:rFonts w:ascii="Arial;Arial" w:hAnsi="Arial;Arial" w:cs="Arial;Arial"/>
          <w:rtl w:val="true"/>
        </w:rPr>
        <w:t>א</w:t>
      </w:r>
      <w:r>
        <w:rPr>
          <w:rFonts w:cs="Arial;Arial" w:ascii="Arial;Arial" w:hAnsi="Arial;Arial"/>
          <w:rtl w:val="true"/>
        </w:rPr>
        <w:t xml:space="preserve">.       </w:t>
      </w:r>
      <w:r>
        <w:rPr>
          <w:rFonts w:cs="Arial;Arial" w:ascii="Arial;Arial" w:hAnsi="Arial;Arial"/>
        </w:rPr>
        <w:t>11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בניכוי ימי המעצר מיום </w:t>
      </w:r>
      <w:r>
        <w:rPr>
          <w:rFonts w:cs="Arial;Arial" w:ascii="Arial;Arial" w:hAnsi="Arial;Arial"/>
        </w:rPr>
        <w:t>6.10.19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עד היום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;Arial" w:hAnsi="Arial;Arial" w:cs="Arial;Arial"/>
        </w:rPr>
      </w:pPr>
      <w:r>
        <w:rPr>
          <w:rFonts w:eastAsia="Arial;Arial"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ב</w:t>
      </w:r>
      <w:r>
        <w:rPr>
          <w:rFonts w:cs="Arial;Arial" w:ascii="Arial;Arial" w:hAnsi="Arial;Arial"/>
          <w:rtl w:val="true"/>
        </w:rPr>
        <w:t xml:space="preserve">.         </w:t>
      </w:r>
      <w:r>
        <w:rPr>
          <w:rFonts w:cs="Arial;Arial" w:ascii="Arial;Arial" w:hAnsi="Arial;Arial"/>
        </w:rPr>
        <w:t>6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 מאסר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תנאי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ואולם הנאשם לא יישא עונש זה אלא אם יעבור במהלך תקופה של שלוש שנים מיום שחרורו מהמאסר כל עבירת נשק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hanging="733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733" w:start="144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ג</w:t>
      </w:r>
      <w:r>
        <w:rPr>
          <w:rFonts w:cs="Arial;Arial" w:ascii="Arial;Arial" w:hAnsi="Arial;Arial"/>
          <w:rtl w:val="true"/>
        </w:rPr>
        <w:t xml:space="preserve">.          </w:t>
      </w:r>
      <w:r>
        <w:rPr>
          <w:rFonts w:ascii="Arial;Arial" w:hAnsi="Arial;Arial" w:cs="Arial;Arial"/>
          <w:rtl w:val="true"/>
        </w:rPr>
        <w:t xml:space="preserve">קנס בסך </w:t>
      </w:r>
      <w:r>
        <w:rPr>
          <w:rFonts w:cs="Arial;Arial" w:ascii="Arial;Arial" w:hAnsi="Arial;Arial"/>
        </w:rPr>
        <w:t>5,000</w:t>
      </w:r>
      <w:r>
        <w:rPr>
          <w:rFonts w:cs="Arial;Arial" w:ascii="Arial;Arial" w:hAnsi="Arial;Arial"/>
          <w:rtl w:val="true"/>
        </w:rPr>
        <w:t xml:space="preserve"> ₪ </w:t>
      </w:r>
      <w:r>
        <w:rPr>
          <w:rFonts w:ascii="Arial;Arial" w:hAnsi="Arial;Arial" w:cs="Arial;Arial"/>
          <w:rtl w:val="true"/>
        </w:rPr>
        <w:t xml:space="preserve">או </w:t>
      </w:r>
      <w:r>
        <w:rPr>
          <w:rFonts w:cs="Arial;Arial" w:ascii="Arial;Arial" w:hAnsi="Arial;Arial"/>
        </w:rPr>
        <w:t>25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ימי מאסר תמורתו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הקנס ישולם ב</w:t>
      </w:r>
      <w:r>
        <w:rPr>
          <w:rFonts w:cs="Arial;Arial" w:ascii="Arial;Arial" w:hAnsi="Arial;Arial"/>
          <w:rtl w:val="true"/>
        </w:rPr>
        <w:t xml:space="preserve">- </w:t>
      </w:r>
      <w:r>
        <w:rPr>
          <w:rFonts w:cs="Arial;Arial" w:ascii="Arial;Arial" w:hAnsi="Arial;Arial"/>
        </w:rPr>
        <w:t>5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תשלומים שווים ורצופים עד יום </w:t>
      </w:r>
      <w:r>
        <w:rPr>
          <w:rFonts w:cs="Arial;Arial" w:ascii="Arial;Arial" w:hAnsi="Arial;Arial"/>
        </w:rPr>
        <w:t>10/6/2020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ובכל </w:t>
      </w:r>
      <w:r>
        <w:rPr>
          <w:rFonts w:cs="Arial;Arial" w:ascii="Arial;Arial" w:hAnsi="Arial;Arial"/>
        </w:rPr>
        <w:t>10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בחודש העוקב לאחריו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;Arial" w:ascii="Arial;Arial" w:hAnsi="Arial;Arial"/>
          <w:b/>
          <w:bCs/>
          <w:u w:val="single"/>
        </w:rPr>
        <w:t>45</w:t>
      </w:r>
      <w:r>
        <w:rPr>
          <w:rFonts w:cs="Arial;Arial" w:ascii="Arial;Arial" w:hAnsi="Arial;Arial"/>
          <w:b/>
          <w:bCs/>
          <w:u w:val="single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u w:val="single"/>
          <w:rtl w:val="true"/>
        </w:rPr>
        <w:t>יום</w:t>
      </w:r>
      <w:r>
        <w:rPr>
          <w:rFonts w:cs="Arial;Arial" w:ascii="Arial;Arial" w:hAnsi="Arial;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;Times New Roman"/>
          <w:b/>
          <w:bCs/>
          <w:sz w:val="28"/>
          <w:szCs w:val="28"/>
        </w:rPr>
      </w:pPr>
      <w:bookmarkStart w:id="8" w:name="Nitan"/>
      <w:r>
        <w:rPr>
          <w:rFonts w:cs="Arial;Arial" w:ascii="Arial;Arial" w:hAnsi="Arial;Arial"/>
          <w:b/>
          <w:bCs/>
          <w:color w:val="FFFFFF"/>
          <w:sz w:val="2"/>
          <w:szCs w:val="2"/>
        </w:rPr>
        <w:t>54678313</w:t>
      </w:r>
      <w:r>
        <w:rPr>
          <w:rFonts w:ascii="Arial;Arial" w:hAnsi="Arial;Arial" w:cs="Arial;Arial"/>
          <w:b/>
          <w:b/>
          <w:bCs/>
          <w:rtl w:val="true"/>
        </w:rPr>
        <w:t>ניתן היום</w:t>
      </w:r>
      <w:r>
        <w:rPr>
          <w:rFonts w:cs="Arial;Arial" w:ascii="Arial;Arial" w:hAnsi="Arial;Arial"/>
          <w:b/>
          <w:bCs/>
          <w:rtl w:val="true"/>
        </w:rPr>
        <w:t xml:space="preserve">,  </w:t>
      </w:r>
      <w:r>
        <w:rPr>
          <w:rFonts w:ascii="Arial;Arial" w:hAnsi="Arial;Arial" w:cs="Arial;Arial"/>
          <w:b/>
          <w:b/>
          <w:bCs/>
          <w:rtl w:val="true"/>
        </w:rPr>
        <w:t>י</w:t>
      </w:r>
      <w:r>
        <w:rPr>
          <w:rFonts w:cs="Arial;Arial" w:ascii="Arial;Arial" w:hAnsi="Arial;Arial"/>
          <w:b/>
          <w:bCs/>
          <w:rtl w:val="true"/>
        </w:rPr>
        <w:t>"</w:t>
      </w:r>
      <w:r>
        <w:rPr>
          <w:rFonts w:ascii="Arial;Arial" w:hAnsi="Arial;Arial" w:cs="Arial;Arial"/>
          <w:b/>
          <w:b/>
          <w:bCs/>
          <w:rtl w:val="true"/>
        </w:rPr>
        <w:t>ד אדר תש</w:t>
      </w:r>
      <w:r>
        <w:rPr>
          <w:rFonts w:cs="Arial;Arial" w:ascii="Arial;Arial" w:hAnsi="Arial;Arial"/>
          <w:b/>
          <w:bCs/>
          <w:rtl w:val="true"/>
        </w:rPr>
        <w:t>"</w:t>
      </w:r>
      <w:r>
        <w:rPr>
          <w:rFonts w:ascii="Arial;Arial" w:hAnsi="Arial;Arial" w:cs="Arial;Arial"/>
          <w:b/>
          <w:b/>
          <w:bCs/>
          <w:rtl w:val="true"/>
        </w:rPr>
        <w:t>פ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cs="Arial;Arial" w:ascii="Arial;Arial" w:hAnsi="Arial;Arial"/>
          <w:b/>
          <w:bCs/>
        </w:rPr>
        <w:t>10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מרץ </w:t>
      </w:r>
      <w:r>
        <w:rPr>
          <w:rFonts w:cs="Arial;Arial" w:ascii="Arial;Arial" w:hAnsi="Arial;Arial"/>
          <w:b/>
          <w:bCs/>
        </w:rPr>
        <w:t>2020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במעמד הצדדים</w:t>
      </w:r>
      <w:r>
        <w:rPr>
          <w:rFonts w:cs="Arial;Arial" w:ascii="Arial;Arial" w:hAnsi="Arial;Arial"/>
          <w:b/>
          <w:bCs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/>
      </w:pPr>
      <w:r>
        <w:rPr>
          <w:rFonts w:cs="Times New Roman;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;Arial" w:hAnsi="Arial;Arial" w:cs="FrankRuehl;Times New Roman"/>
          <w:sz w:val="28"/>
          <w:szCs w:val="28"/>
        </w:rPr>
      </w:pPr>
      <w:r>
        <w:rPr>
          <w:rFonts w:cs="FrankRuehl;Times New Roman" w:ascii="Arial;Arial" w:hAnsi="Arial;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alibri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10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נצ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21029-10-19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עלי 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rFonts w:cs="Times New Roman;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;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;Times New Roman" w:hAnsi="Times New Roman;Times New Roman" w:eastAsia="Times New Roman;Times New Roman" w:cs="David;Times New Roman"/>
      <w:sz w:val="24"/>
      <w:szCs w:val="24"/>
    </w:rPr>
  </w:style>
  <w:style w:type="character" w:styleId="CharChar">
    <w:name w:val=" Char Char"/>
    <w:qFormat/>
    <w:rPr>
      <w:rFonts w:ascii="Times New Roman;Times New Roman" w:hAnsi="Times New Roman;Times New Roman" w:eastAsia="Times New Roman;Times New Roman" w:cs="David;Times New Roman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case/20291305" TargetMode="External"/><Relationship Id="rId13" Type="http://schemas.openxmlformats.org/officeDocument/2006/relationships/hyperlink" Target="http://www.nevo.co.il/case/24303104" TargetMode="External"/><Relationship Id="rId14" Type="http://schemas.openxmlformats.org/officeDocument/2006/relationships/hyperlink" Target="http://www.nevo.co.il/case/20450586" TargetMode="External"/><Relationship Id="rId15" Type="http://schemas.openxmlformats.org/officeDocument/2006/relationships/hyperlink" Target="http://www.nevo.co.il/case/5580781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case/2592575" TargetMode="External"/><Relationship Id="rId18" Type="http://schemas.openxmlformats.org/officeDocument/2006/relationships/hyperlink" Target="http://www.nevo.co.il/case/16913730" TargetMode="External"/><Relationship Id="rId19" Type="http://schemas.openxmlformats.org/officeDocument/2006/relationships/hyperlink" Target="http://www.nevo.co.il/case/16944929" TargetMode="External"/><Relationship Id="rId20" Type="http://schemas.openxmlformats.org/officeDocument/2006/relationships/hyperlink" Target="http://www.nevo.co.il/case/25543800" TargetMode="External"/><Relationship Id="rId21" Type="http://schemas.openxmlformats.org/officeDocument/2006/relationships/hyperlink" Target="http://www.nevo.co.il/case/25892549" TargetMode="External"/><Relationship Id="rId22" Type="http://schemas.openxmlformats.org/officeDocument/2006/relationships/hyperlink" Target="http://www.nevo.co.il/case/25063920" TargetMode="External"/><Relationship Id="rId23" Type="http://schemas.openxmlformats.org/officeDocument/2006/relationships/hyperlink" Target="http://www.nevo.co.il/case/7697147" TargetMode="External"/><Relationship Id="rId24" Type="http://schemas.openxmlformats.org/officeDocument/2006/relationships/hyperlink" Target="http://www.nevo.co.il/case/13015506" TargetMode="External"/><Relationship Id="rId25" Type="http://schemas.openxmlformats.org/officeDocument/2006/relationships/hyperlink" Target="http://www.nevo.co.il/case/26103529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2020-04-22T07:01:00Z</dcterms:created>
  <dc:creator> </dc:creator>
  <dc:description/>
  <cp:keywords/>
  <dc:language>en-IL</dc:language>
  <cp:lastModifiedBy>orly</cp:lastModifiedBy>
  <dcterms:modified xsi:type="dcterms:W3CDTF">2020-04-22T07:01:00Z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חמד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6000182;25824863;20291305;24303104;20450586;5580781;6024035;2592575;16913730;16944929;25543800;25892549;25063920;7697147;13015506;26103529</vt:lpwstr>
  </property>
  <property fmtid="{D5CDD505-2E9C-101B-9397-08002B2CF9AE}" pid="9" name="CITY">
    <vt:lpwstr>נצ'</vt:lpwstr>
  </property>
  <property fmtid="{D5CDD505-2E9C-101B-9397-08002B2CF9AE}" pid="10" name="DATE">
    <vt:lpwstr>20200310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שפילברג כהן</vt:lpwstr>
  </property>
  <property fmtid="{D5CDD505-2E9C-101B-9397-08002B2CF9AE}" pid="14" name="LAWLISTTMP1">
    <vt:lpwstr>70301/144.a;144.b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שירלי</vt:lpwstr>
  </property>
  <property fmtid="{D5CDD505-2E9C-101B-9397-08002B2CF9AE}" pid="22" name="NEWPARTA">
    <vt:lpwstr>21029</vt:lpwstr>
  </property>
  <property fmtid="{D5CDD505-2E9C-101B-9397-08002B2CF9AE}" pid="23" name="NEWPARTB">
    <vt:lpwstr>10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עקרון ההלימה‏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מתחם הענישה</vt:lpwstr>
  </property>
  <property fmtid="{D5CDD505-2E9C-101B-9397-08002B2CF9AE}" pid="52" name="NOSE34">
    <vt:lpwstr>מדיניות ענישה: עבירות נשק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14799;8994;14985;13800</vt:lpwstr>
  </property>
  <property fmtid="{D5CDD505-2E9C-101B-9397-08002B2CF9AE}" pid="59" name="PADIDATE">
    <vt:lpwstr>20200422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3</vt:lpwstr>
  </property>
  <property fmtid="{D5CDD505-2E9C-101B-9397-08002B2CF9AE}" pid="68" name="TYPE_ABS_DATE">
    <vt:lpwstr>380120200310</vt:lpwstr>
  </property>
  <property fmtid="{D5CDD505-2E9C-101B-9397-08002B2CF9AE}" pid="69" name="TYPE_N_DATE">
    <vt:lpwstr>38020200310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