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21113-08-12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כנאנה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עיז אל דין כנאנה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בשם המאשימה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יעל כץ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בשם הנאשם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אחמד מסאלחה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הנאשם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הובא </w:t>
      </w:r>
      <w:r>
        <w:rPr>
          <w:u w:val="none"/>
          <w:rtl w:val="true"/>
        </w:rPr>
        <w:t>[</w:t>
      </w:r>
      <w:r>
        <w:rPr>
          <w:u w:val="none"/>
          <w:rtl w:val="true"/>
        </w:rPr>
        <w:t>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י הליווי</w:t>
      </w:r>
      <w:r>
        <w:rPr>
          <w:u w:val="none"/>
          <w:rtl w:val="true"/>
        </w:rPr>
        <w:t>]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6" w:name="ABSTRACT_START"/>
      <w:bookmarkEnd w:id="6"/>
      <w:r>
        <w:rPr>
          <w:rtl w:val="true"/>
        </w:rPr>
        <w:t>הנאשם לפניי הורשע</w:t>
      </w:r>
      <w:r>
        <w:rPr>
          <w:rtl w:val="true"/>
        </w:rPr>
        <w:t xml:space="preserve">, </w:t>
      </w:r>
      <w:r>
        <w:rPr>
          <w:rtl w:val="true"/>
        </w:rPr>
        <w:t>על פי הודאתו ובמסגרת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</w:t>
      </w:r>
      <w:r>
        <w:rPr>
          <w:b/>
          <w:b/>
          <w:bCs/>
          <w:rtl w:val="true"/>
        </w:rPr>
        <w:t>החזקת נשק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 xml:space="preserve">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"); </w:t>
      </w:r>
      <w:r>
        <w:rPr>
          <w:b/>
          <w:b/>
          <w:bCs/>
          <w:rtl w:val="true"/>
        </w:rPr>
        <w:t>ניסיון פציעה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 xml:space="preserve">לפי סעיפים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334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וירי באזור מגורים</w:t>
      </w:r>
      <w:r>
        <w:rPr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 xml:space="preserve">לפי סעיף </w:t>
      </w:r>
      <w:r>
        <w:rPr/>
        <w:t>340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על פי עובדות כתב האישום </w:t>
      </w:r>
      <w:r>
        <w:rPr>
          <w:rtl w:val="true"/>
        </w:rPr>
        <w:t>(</w:t>
      </w:r>
      <w:r>
        <w:rPr>
          <w:rtl w:val="true"/>
        </w:rPr>
        <w:t xml:space="preserve">כתב אישום מתוקן מיום </w:t>
      </w:r>
      <w:r>
        <w:rPr/>
        <w:t>25.11.12</w:t>
      </w:r>
      <w:r>
        <w:rPr>
          <w:rtl w:val="true"/>
        </w:rPr>
        <w:t xml:space="preserve">), </w:t>
      </w:r>
      <w:r>
        <w:rPr>
          <w:rtl w:val="true"/>
        </w:rPr>
        <w:t>בין הנאשם למשפחת המתלוננים קיים סכסוך בקשר לבעלות בחלקת אדמה</w:t>
      </w:r>
      <w:r>
        <w:rPr>
          <w:rtl w:val="true"/>
        </w:rPr>
        <w:t xml:space="preserve">. </w:t>
      </w:r>
      <w:r>
        <w:rPr>
          <w:rtl w:val="true"/>
        </w:rPr>
        <w:t xml:space="preserve">בתאריך </w:t>
      </w:r>
      <w:r>
        <w:rPr/>
        <w:t>11.8.12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08:30</w:t>
      </w:r>
      <w:r>
        <w:rPr>
          <w:rtl w:val="true"/>
        </w:rPr>
        <w:t xml:space="preserve"> </w:t>
      </w:r>
      <w:r>
        <w:rPr>
          <w:rtl w:val="true"/>
        </w:rPr>
        <w:t>יצא הנאשם מעסקו כשהוא חמוש באקדח ומלווה בשניים מבני משפחתו</w:t>
      </w:r>
      <w:r>
        <w:rPr>
          <w:rtl w:val="true"/>
        </w:rPr>
        <w:t xml:space="preserve">, </w:t>
      </w:r>
      <w:r>
        <w:rPr>
          <w:rtl w:val="true"/>
        </w:rPr>
        <w:t>התקדם מספר מטרים לכיוון מגרש העסק של המתלוננים והחל לירות לעברו</w:t>
      </w:r>
      <w:r>
        <w:rPr>
          <w:rtl w:val="true"/>
        </w:rPr>
        <w:t xml:space="preserve">. </w:t>
      </w:r>
      <w:r>
        <w:rPr>
          <w:rtl w:val="true"/>
        </w:rPr>
        <w:t>למשמע היריות יצאו המתלוננים</w:t>
      </w:r>
      <w:r>
        <w:rPr>
          <w:rtl w:val="true"/>
        </w:rPr>
        <w:t xml:space="preserve">, </w:t>
      </w:r>
      <w:r>
        <w:rPr>
          <w:rtl w:val="true"/>
        </w:rPr>
        <w:t>תאמר</w:t>
      </w:r>
      <w:r>
        <w:rPr>
          <w:rtl w:val="true"/>
        </w:rPr>
        <w:t xml:space="preserve">, </w:t>
      </w:r>
      <w:r>
        <w:rPr>
          <w:rtl w:val="true"/>
        </w:rPr>
        <w:t>נאסר ואחמד זועבי מן המגרש אל הרחוב</w:t>
      </w:r>
      <w:r>
        <w:rPr>
          <w:rtl w:val="true"/>
        </w:rPr>
        <w:t xml:space="preserve">. </w:t>
      </w:r>
      <w:r>
        <w:rPr>
          <w:rtl w:val="true"/>
        </w:rPr>
        <w:t>הנאשם בראותו את המתלוננים המשיך לירות לעברם תוך שהוא מכוון אל המתלוננים את נשקו במטרה לפגוע בהם</w:t>
      </w:r>
      <w:r>
        <w:rPr>
          <w:rtl w:val="true"/>
        </w:rPr>
        <w:t xml:space="preserve">. </w:t>
      </w:r>
      <w:r>
        <w:rPr>
          <w:rtl w:val="true"/>
        </w:rPr>
        <w:t>עקב הירי נכנסו המתלוננים אל בית העסק שלהם</w:t>
      </w:r>
      <w:r>
        <w:rPr>
          <w:rtl w:val="true"/>
        </w:rPr>
        <w:t xml:space="preserve">, </w:t>
      </w:r>
      <w:r>
        <w:rPr>
          <w:rtl w:val="true"/>
        </w:rPr>
        <w:t>והזעיקו בני משפחה</w:t>
      </w:r>
      <w:r>
        <w:rPr>
          <w:rtl w:val="true"/>
        </w:rPr>
        <w:t xml:space="preserve">. </w:t>
      </w:r>
      <w:r>
        <w:rPr>
          <w:rtl w:val="true"/>
        </w:rPr>
        <w:t>כאשר הגיעו בני משפחה נוספים למקום</w:t>
      </w:r>
      <w:r>
        <w:rPr>
          <w:rtl w:val="true"/>
        </w:rPr>
        <w:t xml:space="preserve">, </w:t>
      </w:r>
      <w:r>
        <w:rPr>
          <w:rtl w:val="true"/>
        </w:rPr>
        <w:t>ממשפחת המתלוננים</w:t>
      </w:r>
      <w:r>
        <w:rPr>
          <w:rtl w:val="true"/>
        </w:rPr>
        <w:t xml:space="preserve">, </w:t>
      </w:r>
      <w:r>
        <w:rPr>
          <w:rtl w:val="true"/>
        </w:rPr>
        <w:t>המשיך הנאשם לירות אף לעברם</w:t>
      </w:r>
      <w:r>
        <w:rPr>
          <w:rtl w:val="true"/>
        </w:rPr>
        <w:t xml:space="preserve">. </w:t>
      </w:r>
      <w:r>
        <w:rPr>
          <w:rtl w:val="true"/>
        </w:rPr>
        <w:t>הנאשם חדל מן הירי ושב לעסקו רק כשהגיעה למקום ניידת 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בדיון מיום </w:t>
      </w:r>
      <w:r>
        <w:rPr/>
        <w:t>25.11.12</w:t>
      </w:r>
      <w:r>
        <w:rPr>
          <w:rtl w:val="true"/>
        </w:rPr>
        <w:t xml:space="preserve"> </w:t>
      </w:r>
      <w:r>
        <w:rPr>
          <w:rtl w:val="true"/>
        </w:rPr>
        <w:t>הודיעו הצדדים</w:t>
      </w:r>
      <w:r>
        <w:rPr>
          <w:rtl w:val="true"/>
        </w:rPr>
        <w:t xml:space="preserve">, </w:t>
      </w:r>
      <w:r>
        <w:rPr>
          <w:rtl w:val="true"/>
        </w:rPr>
        <w:t>כי הגיעו להסדר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ולפיו </w:t>
      </w:r>
      <w:r>
        <w:rPr>
          <w:rtl w:val="true"/>
        </w:rPr>
        <w:t>"</w:t>
      </w:r>
      <w:r>
        <w:rPr>
          <w:b/>
          <w:b/>
          <w:bCs/>
          <w:rtl w:val="true"/>
        </w:rPr>
        <w:t xml:space="preserve">הנאשם יודה בעובדות כתב האישום המתוקן ויורשע בעבירות אשר מיוחסות לו 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 xml:space="preserve">באשר לעונש התביעה תטען לעונש ראוי של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 בנוסף לעונשים נלווים ואילו הסנגור יטען פתוח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המאשימה הצרה על כך שאירועים מן הסוג המתואר הפכו לשגרה במחוז בו אנו חיים</w:t>
      </w:r>
      <w:r>
        <w:rPr>
          <w:rtl w:val="true"/>
        </w:rPr>
        <w:t xml:space="preserve">, </w:t>
      </w:r>
      <w:r>
        <w:rPr>
          <w:rtl w:val="true"/>
        </w:rPr>
        <w:t xml:space="preserve">ועמדה על הצורך </w:t>
      </w:r>
      <w:r>
        <w:rPr>
          <w:rtl w:val="true"/>
        </w:rPr>
        <w:t>"</w:t>
      </w:r>
      <w:r>
        <w:rPr>
          <w:rtl w:val="true"/>
        </w:rPr>
        <w:t>להדביר</w:t>
      </w:r>
      <w:r>
        <w:rPr>
          <w:rtl w:val="true"/>
        </w:rPr>
        <w:t xml:space="preserve">", </w:t>
      </w:r>
      <w:r>
        <w:rPr>
          <w:rtl w:val="true"/>
        </w:rPr>
        <w:t>כהגדרתה</w:t>
      </w:r>
      <w:r>
        <w:rPr>
          <w:rtl w:val="true"/>
        </w:rPr>
        <w:t xml:space="preserve">, </w:t>
      </w:r>
      <w:r>
        <w:rPr>
          <w:rtl w:val="true"/>
        </w:rPr>
        <w:t>את תופעת השימוש בנשק</w:t>
      </w:r>
      <w:r>
        <w:rPr>
          <w:rtl w:val="true"/>
        </w:rPr>
        <w:t xml:space="preserve">, </w:t>
      </w:r>
      <w:r>
        <w:rPr>
          <w:rtl w:val="true"/>
        </w:rPr>
        <w:t>בין היתר באמצעות התייחסות עונשית ראויה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נוכח חומרת מעשיו של הנאשם והסיכון הרב שיצר בהם לחיי אדם</w:t>
      </w:r>
      <w:r>
        <w:rPr>
          <w:rtl w:val="true"/>
        </w:rPr>
        <w:t xml:space="preserve">, </w:t>
      </w:r>
      <w:r>
        <w:rPr>
          <w:rtl w:val="true"/>
        </w:rPr>
        <w:t>ונוכח פגיעתו בסדר הציבורי ובתחושת הביטחון וההגנה של אזרחים תמימים</w:t>
      </w:r>
      <w:r>
        <w:rPr>
          <w:rtl w:val="true"/>
        </w:rPr>
        <w:t xml:space="preserve">, </w:t>
      </w:r>
      <w:r>
        <w:rPr>
          <w:rtl w:val="true"/>
        </w:rPr>
        <w:t>הרי שהעונש המבוקש על ידה נמצא ברף התחתון של מתחם הענישה ההולם את האירוע</w:t>
      </w:r>
      <w:r>
        <w:rPr>
          <w:rtl w:val="true"/>
        </w:rPr>
        <w:t xml:space="preserve">, </w:t>
      </w:r>
      <w:r>
        <w:rPr>
          <w:rtl w:val="true"/>
        </w:rPr>
        <w:t xml:space="preserve">אשר נע לטענתה 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 ובנוסף עונשים 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הצביעה על כך שלא קיימת אינדיקציה לאפיקי שיקום רלוונטיים</w:t>
      </w:r>
      <w:r>
        <w:rPr>
          <w:rtl w:val="true"/>
        </w:rPr>
        <w:t xml:space="preserve">, </w:t>
      </w:r>
      <w:r>
        <w:rPr>
          <w:rtl w:val="true"/>
        </w:rPr>
        <w:t>ושלא קיימות נסיבות מיוחדות המצדיקות הקלה נוספת בעונש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לסיכום מבקשת המאשימה לגזור על הנאשם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וכן מאסר מותנה</w:t>
      </w:r>
      <w:r>
        <w:rPr>
          <w:rtl w:val="true"/>
        </w:rPr>
        <w:t xml:space="preserve">, </w:t>
      </w:r>
      <w:r>
        <w:rPr>
          <w:rtl w:val="true"/>
        </w:rPr>
        <w:t>קנס ופיצוי למתלוננים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הסנגור תיאר את אופיו הנורמטיבי של הנאשם</w:t>
      </w:r>
      <w:r>
        <w:rPr>
          <w:rtl w:val="true"/>
        </w:rPr>
        <w:t xml:space="preserve">, </w:t>
      </w:r>
      <w:r>
        <w:rPr>
          <w:rtl w:val="true"/>
        </w:rPr>
        <w:t>איש משפחה המנהל עסק מוצלח</w:t>
      </w:r>
      <w:r>
        <w:rPr>
          <w:rtl w:val="true"/>
        </w:rPr>
        <w:t xml:space="preserve">, </w:t>
      </w:r>
      <w:r>
        <w:rPr>
          <w:rtl w:val="true"/>
        </w:rPr>
        <w:t>שפרנסת משפחתו עליו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האירוע התרחש על רקע סכסוך שכנים</w:t>
      </w:r>
      <w:r>
        <w:rPr>
          <w:rtl w:val="true"/>
        </w:rPr>
        <w:t xml:space="preserve">, </w:t>
      </w:r>
      <w:r>
        <w:rPr>
          <w:rtl w:val="true"/>
        </w:rPr>
        <w:t>כאשר בינתיים נערך הסכם סולחה בין המשפחות</w:t>
      </w:r>
      <w:r>
        <w:rPr>
          <w:rtl w:val="true"/>
        </w:rPr>
        <w:t xml:space="preserve">, </w:t>
      </w:r>
      <w:r>
        <w:rPr>
          <w:rtl w:val="true"/>
        </w:rPr>
        <w:t>שהוגש לעיון בית המשפט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אין לחשוש מכך שהנאשם ישוב לבצע מעשים דומים</w:t>
      </w:r>
      <w:r>
        <w:rPr>
          <w:rtl w:val="true"/>
        </w:rPr>
        <w:t xml:space="preserve">, </w:t>
      </w:r>
      <w:r>
        <w:rPr>
          <w:rtl w:val="true"/>
        </w:rPr>
        <w:t>ובודאי בזמן שעצם קיום ההליך הפלילי נגדו גרם לו לנזקים כספיים ולבושה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 עמד על כך שאחת הסיבות להסדר הטיעון היא הקושי הראייתי בתיק</w:t>
      </w:r>
      <w:r>
        <w:rPr>
          <w:rtl w:val="true"/>
        </w:rPr>
        <w:t xml:space="preserve">, </w:t>
      </w:r>
      <w:r>
        <w:rPr>
          <w:rtl w:val="true"/>
        </w:rPr>
        <w:t>כשבסופו של יום הנאשם הורשע בעבירות שהן רובן ככולן מסוג עוון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 לנסיבות</w:t>
      </w:r>
      <w:r>
        <w:rPr>
          <w:rtl w:val="true"/>
        </w:rPr>
        <w:t xml:space="preserve">, </w:t>
      </w:r>
      <w:r>
        <w:rPr>
          <w:rtl w:val="true"/>
        </w:rPr>
        <w:t>הסנגור ביקש לזקוף לזכות הנאשם את העובדה שלא ברח מן המקום ביום האירוע</w:t>
      </w:r>
      <w:r>
        <w:rPr>
          <w:rtl w:val="true"/>
        </w:rPr>
        <w:t xml:space="preserve">, </w:t>
      </w:r>
      <w:r>
        <w:rPr>
          <w:rtl w:val="true"/>
        </w:rPr>
        <w:t>ולא העלים ראיות</w:t>
      </w:r>
      <w:r>
        <w:rPr>
          <w:rtl w:val="true"/>
        </w:rPr>
        <w:t xml:space="preserve">. </w:t>
      </w:r>
      <w:r>
        <w:rPr>
          <w:rtl w:val="true"/>
        </w:rPr>
        <w:t>במישור האישי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עברו של הנאשם נקי</w:t>
      </w:r>
      <w:r>
        <w:rPr>
          <w:rtl w:val="true"/>
        </w:rPr>
        <w:t xml:space="preserve">, </w:t>
      </w:r>
      <w:r>
        <w:rPr>
          <w:rtl w:val="true"/>
        </w:rPr>
        <w:t>במובן זה שהרשעותיו הקודמות</w:t>
      </w:r>
      <w:r>
        <w:rPr>
          <w:rtl w:val="true"/>
        </w:rPr>
        <w:t xml:space="preserve">, </w:t>
      </w:r>
      <w:r>
        <w:rPr>
          <w:rtl w:val="true"/>
        </w:rPr>
        <w:t>אשר לכשעצמן אינן מכבידות</w:t>
      </w:r>
      <w:r>
        <w:rPr>
          <w:rtl w:val="true"/>
        </w:rPr>
        <w:t xml:space="preserve">, </w:t>
      </w:r>
      <w:r>
        <w:rPr>
          <w:rtl w:val="true"/>
        </w:rPr>
        <w:t>התיישנו זה מכבר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ביקש הסנגור להסתפק בתקופת מעצרו של הנאשם ולחילופין</w:t>
      </w:r>
      <w:r>
        <w:rPr>
          <w:rtl w:val="true"/>
        </w:rPr>
        <w:t xml:space="preserve">, </w:t>
      </w:r>
      <w:r>
        <w:rPr>
          <w:rtl w:val="true"/>
        </w:rPr>
        <w:t>לגזור עליו עונשים מינימאליים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 עצמו הביע צער על האירוע</w:t>
      </w:r>
      <w:r>
        <w:rPr>
          <w:rtl w:val="true"/>
        </w:rPr>
        <w:t xml:space="preserve">, </w:t>
      </w:r>
      <w:r>
        <w:rPr>
          <w:rtl w:val="true"/>
        </w:rPr>
        <w:t>ציין כי הושגה סולחה עם המתלוננים וכן כי למד לקח ואינו מתכוון לחזור על מעשיו</w:t>
      </w:r>
      <w:r>
        <w:rPr>
          <w:rtl w:val="true"/>
        </w:rPr>
        <w:t xml:space="preserve">. </w:t>
      </w:r>
      <w:r>
        <w:rPr>
          <w:rtl w:val="true"/>
        </w:rPr>
        <w:t>הנאשם ביקש לחזור לחיק משפחתו ולעסקיו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על אופיו של הנאשם העיד חברו</w:t>
      </w:r>
      <w:r>
        <w:rPr>
          <w:rtl w:val="true"/>
        </w:rPr>
        <w:t xml:space="preserve">, </w:t>
      </w:r>
      <w:r>
        <w:rPr>
          <w:rtl w:val="true"/>
        </w:rPr>
        <w:t>סלים מורד</w:t>
      </w:r>
      <w:r>
        <w:rPr>
          <w:rtl w:val="true"/>
        </w:rPr>
        <w:t xml:space="preserve">, </w:t>
      </w:r>
      <w:r>
        <w:rPr>
          <w:rtl w:val="true"/>
        </w:rPr>
        <w:t>אשר סיפר כי הנאשם הוא בן למשפחה מכובדת ביפיע</w:t>
      </w:r>
      <w:r>
        <w:rPr>
          <w:rtl w:val="true"/>
        </w:rPr>
        <w:t xml:space="preserve">, </w:t>
      </w:r>
      <w:r>
        <w:rPr>
          <w:rtl w:val="true"/>
        </w:rPr>
        <w:t>המשקיע רבות בחינוך ילדיו ובהקניית תרבות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מעשיו של הנאשם</w:t>
      </w:r>
      <w:r>
        <w:rPr>
          <w:rtl w:val="true"/>
        </w:rPr>
        <w:t xml:space="preserve">, </w:t>
      </w:r>
      <w:r>
        <w:rPr>
          <w:rtl w:val="true"/>
        </w:rPr>
        <w:t>הן בעצם החזקת נשקו ועל אחת כמה וכמה בשימוש שנעשה בו</w:t>
      </w:r>
      <w:r>
        <w:rPr>
          <w:rtl w:val="true"/>
        </w:rPr>
        <w:t xml:space="preserve">, </w:t>
      </w:r>
      <w:r>
        <w:rPr>
          <w:rtl w:val="true"/>
        </w:rPr>
        <w:t>יצרו סיכון רב כלפי חייהם וגופם של אנשים</w:t>
      </w:r>
      <w:r>
        <w:rPr>
          <w:rtl w:val="true"/>
        </w:rPr>
        <w:t xml:space="preserve">, </w:t>
      </w:r>
      <w:r>
        <w:rPr>
          <w:rtl w:val="true"/>
        </w:rPr>
        <w:t>ונראה כי רק על דרך נס לא הביאו לפגיעות בנפש</w:t>
      </w:r>
      <w:r>
        <w:rPr>
          <w:rtl w:val="true"/>
        </w:rPr>
        <w:t xml:space="preserve">. </w:t>
      </w:r>
      <w:r>
        <w:rPr>
          <w:rtl w:val="true"/>
        </w:rPr>
        <w:t>מעשים מסוג זה פוגעים בסדר הציבורי ובתחושת הביטחון וההגנה לה זכאי כל אדם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הן בשל הפגיעה בערכים חברתיים והן בשל יצירת הסיכון</w:t>
      </w:r>
      <w:r>
        <w:rPr>
          <w:rtl w:val="true"/>
        </w:rPr>
        <w:t xml:space="preserve">, </w:t>
      </w:r>
      <w:r>
        <w:rPr>
          <w:rtl w:val="true"/>
        </w:rPr>
        <w:t>הם מחייבים תגובה עונשית הולמת בדמות עונש מאסר מאחורי סורג 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בנסיבות המקרה דנן</w:t>
      </w:r>
      <w:r>
        <w:rPr>
          <w:rtl w:val="true"/>
        </w:rPr>
        <w:t xml:space="preserve">, </w:t>
      </w:r>
      <w:r>
        <w:rPr>
          <w:rtl w:val="true"/>
        </w:rPr>
        <w:t>בהן נטל הנאשם נשק שלא כדין וירה ירי חסר אבחנה לעבר אנשים</w:t>
      </w:r>
      <w:r>
        <w:rPr>
          <w:rtl w:val="true"/>
        </w:rPr>
        <w:t xml:space="preserve">, </w:t>
      </w:r>
      <w:r>
        <w:rPr>
          <w:rtl w:val="true"/>
        </w:rPr>
        <w:t>צודקת המאשימה</w:t>
      </w:r>
      <w:r>
        <w:rPr>
          <w:rtl w:val="true"/>
        </w:rPr>
        <w:t xml:space="preserve">, </w:t>
      </w:r>
      <w:r>
        <w:rPr>
          <w:rtl w:val="true"/>
        </w:rPr>
        <w:t>כי העונש לו היא עותרת נמצא ברף התחתון של מתחם הענישה הראוי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אין להתייחס אל המקרה רק באספקלריה של ירי באזור מגורים</w:t>
      </w:r>
      <w:r>
        <w:rPr>
          <w:rtl w:val="true"/>
        </w:rPr>
        <w:t xml:space="preserve">, </w:t>
      </w:r>
      <w:r>
        <w:rPr>
          <w:rtl w:val="true"/>
        </w:rPr>
        <w:t>אלא יש למקד את ההכרעה בעובדה שהנאשם הודה בכך שביקש לפצוע את המתלוננים באמצעות ירי זה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אין ספק כי גם לתוצאת הירי משקל בעת קביעת מתחם העונש הראוי</w:t>
      </w:r>
      <w:r>
        <w:rPr>
          <w:rtl w:val="true"/>
        </w:rPr>
        <w:t xml:space="preserve">, </w:t>
      </w:r>
      <w:r>
        <w:rPr>
          <w:rtl w:val="true"/>
        </w:rPr>
        <w:t>ולא רק לכוונותיו</w:t>
      </w:r>
      <w:r>
        <w:rPr>
          <w:rtl w:val="true"/>
        </w:rPr>
        <w:t xml:space="preserve">, </w:t>
      </w:r>
      <w:r>
        <w:rPr>
          <w:rtl w:val="true"/>
        </w:rPr>
        <w:t>כשברור כי במידה והירי היה מוביל לפגיעה באדם כלשהו</w:t>
      </w:r>
      <w:r>
        <w:rPr>
          <w:rtl w:val="true"/>
        </w:rPr>
        <w:t xml:space="preserve">, </w:t>
      </w:r>
      <w:r>
        <w:rPr>
          <w:rtl w:val="true"/>
        </w:rPr>
        <w:t>כי אז מתחם הענישה היה שונה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 המקרה דנן</w:t>
      </w:r>
      <w:r>
        <w:rPr>
          <w:rtl w:val="true"/>
        </w:rPr>
        <w:t xml:space="preserve">, </w:t>
      </w:r>
      <w:r>
        <w:rPr>
          <w:rtl w:val="true"/>
        </w:rPr>
        <w:t>בהן בוצע הירי במסגרת סכסוך מקרקעין</w:t>
      </w:r>
      <w:r>
        <w:rPr>
          <w:rtl w:val="true"/>
        </w:rPr>
        <w:t xml:space="preserve">, </w:t>
      </w:r>
      <w:r>
        <w:rPr>
          <w:rtl w:val="true"/>
        </w:rPr>
        <w:t>ללא תכנון  משמעותי</w:t>
      </w:r>
      <w:r>
        <w:rPr>
          <w:rtl w:val="true"/>
        </w:rPr>
        <w:t xml:space="preserve">, </w:t>
      </w:r>
      <w:r>
        <w:rPr>
          <w:rtl w:val="true"/>
        </w:rPr>
        <w:t>מתוך כוונה לפצוע</w:t>
      </w:r>
      <w:r>
        <w:rPr>
          <w:rtl w:val="true"/>
        </w:rPr>
        <w:t xml:space="preserve">, </w:t>
      </w:r>
      <w:r>
        <w:rPr>
          <w:rtl w:val="true"/>
        </w:rPr>
        <w:t>אך מבלי לגרום לנזקים גדולים לגופם או חייהם של אנשים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כי מתחם הענישה הראוי נע 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באשר לנסיבותיו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מתוך התחשבות בעברו הפלילי </w:t>
      </w:r>
      <w:r>
        <w:rPr>
          <w:rtl w:val="true"/>
        </w:rPr>
        <w:t>"</w:t>
      </w:r>
      <w:r>
        <w:rPr>
          <w:rtl w:val="true"/>
        </w:rPr>
        <w:t>הדל</w:t>
      </w:r>
      <w:r>
        <w:rPr>
          <w:rtl w:val="true"/>
        </w:rPr>
        <w:t xml:space="preserve">", </w:t>
      </w:r>
      <w:r>
        <w:rPr>
          <w:rtl w:val="true"/>
        </w:rPr>
        <w:t>שהתיישן זה מכבר</w:t>
      </w:r>
      <w:r>
        <w:rPr>
          <w:rtl w:val="true"/>
        </w:rPr>
        <w:t xml:space="preserve">, </w:t>
      </w:r>
      <w:r>
        <w:rPr>
          <w:rtl w:val="true"/>
        </w:rPr>
        <w:t>בהסכם הסולחה שהושג בין הצדדים</w:t>
      </w:r>
      <w:r>
        <w:rPr>
          <w:rtl w:val="true"/>
        </w:rPr>
        <w:t xml:space="preserve">, </w:t>
      </w:r>
      <w:r>
        <w:rPr>
          <w:rtl w:val="true"/>
        </w:rPr>
        <w:t>ובנזק שגרם הנאשם במעשיו לבני משפחתו ולעסקו</w:t>
      </w:r>
      <w:r>
        <w:rPr>
          <w:rtl w:val="true"/>
        </w:rPr>
        <w:t xml:space="preserve">, </w:t>
      </w:r>
      <w:r>
        <w:rPr>
          <w:rtl w:val="true"/>
        </w:rPr>
        <w:t>אשר יש להניח כי יוחמר עם כל החמרה בעונשו</w:t>
      </w:r>
      <w:r>
        <w:rPr>
          <w:rtl w:val="true"/>
        </w:rPr>
        <w:t xml:space="preserve">, </w:t>
      </w:r>
      <w:r>
        <w:rPr>
          <w:rtl w:val="true"/>
        </w:rPr>
        <w:t>מצאתי לנכון לכבד את הסדר הטיעון ולהטיל על הנאשם עונש המצוי ברף התחתון של מתחם הענישה הראוי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נתתי דעתי לעובדה שהסדר הטיעון הושג על רקע קושי ראייתי בתיק</w:t>
      </w:r>
      <w:r>
        <w:rPr>
          <w:rtl w:val="true"/>
        </w:rPr>
        <w:t xml:space="preserve">, </w:t>
      </w:r>
      <w:r>
        <w:rPr>
          <w:rtl w:val="true"/>
        </w:rPr>
        <w:t>ושהנאשם הודה בעובדות כתב האישום והביע רצון לחזור לדרך הישר</w:t>
      </w:r>
      <w:r>
        <w:rPr>
          <w:rtl w:val="true"/>
        </w:rPr>
        <w:t xml:space="preserve">, </w:t>
      </w:r>
      <w:r>
        <w:rPr>
          <w:rtl w:val="true"/>
        </w:rPr>
        <w:t>ושבין הניצים נחתם הסכם סולחה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אני גוזר על הנאשם את העונשים הבאים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מתוכם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לנשיאה בפועל בניכוי ימי מעצרו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11.8.12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והיתרה על תנאי למשך שנתיים</w:t>
      </w:r>
      <w:r>
        <w:rPr>
          <w:rtl w:val="true"/>
        </w:rPr>
        <w:t xml:space="preserve">, </w:t>
      </w:r>
      <w:r>
        <w:rPr>
          <w:rtl w:val="true"/>
        </w:rPr>
        <w:t>והתנאי הוא שהנאשם לא יעבור בפרק זמן זה עבירת אלימות או נשק שיורשע בגינה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אני מטיל על הנאשם קנס בסך </w:t>
      </w:r>
      <w:r>
        <w:rPr/>
        <w:t>7,500</w:t>
      </w:r>
      <w:r>
        <w:rPr>
          <w:rtl w:val="true"/>
        </w:rPr>
        <w:t xml:space="preserve"> ₪, </w:t>
      </w:r>
      <w:r>
        <w:rPr>
          <w:rtl w:val="true"/>
        </w:rPr>
        <w:t xml:space="preserve">או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 מאסר תחתיו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הקנס ישולם </w:t>
      </w:r>
      <w:r>
        <w:rPr>
          <w:rtl w:val="true"/>
        </w:rPr>
        <w:t>ב</w:t>
      </w:r>
      <w:r>
        <w:rPr>
          <w:rtl w:val="true"/>
        </w:rPr>
        <w:t xml:space="preserve">תוך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 xml:space="preserve">זכות ערעור לבית המשפט העליון 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b/>
          <w:b/>
          <w:bCs/>
          <w:rtl w:val="true"/>
        </w:rPr>
        <w:t>ניתן והודע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כסלו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27/11/2012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  <w:bookmarkStart w:id="9" w:name="_GoBack"/>
      <w:bookmarkStart w:id="10" w:name="_GoBack"/>
      <w:bookmarkEnd w:id="10"/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תאופיק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כתילי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21113-08-12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עיז אל דין כנאנה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2012-12-02T12:29:00Z</dcterms:created>
  <dc:creator> </dc:creator>
  <dc:description/>
  <cp:keywords/>
  <dc:language>en-IL</dc:language>
  <cp:lastModifiedBy>orit</cp:lastModifiedBy>
  <dcterms:modified xsi:type="dcterms:W3CDTF">2012-12-02T12:29:00Z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EE">
    <vt:lpwstr>עיז אל דין כנאנה</vt:lpwstr>
  </property>
  <property fmtid="{D5CDD505-2E9C-101B-9397-08002B2CF9AE}" pid="4" name="CITY">
    <vt:lpwstr>נצ'</vt:lpwstr>
  </property>
  <property fmtid="{D5CDD505-2E9C-101B-9397-08002B2CF9AE}" pid="5" name="DATE">
    <vt:lpwstr>20121127</vt:lpwstr>
  </property>
  <property fmtid="{D5CDD505-2E9C-101B-9397-08002B2CF9AE}" pid="6" name="ISABSTRACT">
    <vt:lpwstr>Y</vt:lpwstr>
  </property>
  <property fmtid="{D5CDD505-2E9C-101B-9397-08002B2CF9AE}" pid="7" name="JUDGE">
    <vt:lpwstr>תאופיק כתילי</vt:lpwstr>
  </property>
  <property fmtid="{D5CDD505-2E9C-101B-9397-08002B2CF9AE}" pid="8" name="LAWYER">
    <vt:lpwstr>הובא;הובא [ הליווי];יעל כץ;אחמד מסאלחה</vt:lpwstr>
  </property>
  <property fmtid="{D5CDD505-2E9C-101B-9397-08002B2CF9AE}" pid="9" name="NEWPARTA">
    <vt:lpwstr>21113</vt:lpwstr>
  </property>
  <property fmtid="{D5CDD505-2E9C-101B-9397-08002B2CF9AE}" pid="10" name="NEWPARTB">
    <vt:lpwstr>08</vt:lpwstr>
  </property>
  <property fmtid="{D5CDD505-2E9C-101B-9397-08002B2CF9AE}" pid="11" name="NEWPARTC">
    <vt:lpwstr>12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2</vt:lpwstr>
  </property>
  <property fmtid="{D5CDD505-2E9C-101B-9397-08002B2CF9AE}" pid="15" name="TYPE_ABS_DATE">
    <vt:lpwstr>390020121127</vt:lpwstr>
  </property>
  <property fmtid="{D5CDD505-2E9C-101B-9397-08002B2CF9AE}" pid="16" name="TYPE_N_DATE">
    <vt:lpwstr>39020121127</vt:lpwstr>
  </property>
  <property fmtid="{D5CDD505-2E9C-101B-9397-08002B2CF9AE}" pid="17" name="WORDNUMPAGES">
    <vt:lpwstr>4</vt:lpwstr>
  </property>
</Properties>
</file>