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21296-11-14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0"/>
        <w:gridCol w:w="2660"/>
      </w:tblGrid>
      <w:tr>
        <w:trPr>
          <w:trHeight w:val="337" w:hRule="atLeast"/>
        </w:trPr>
        <w:tc>
          <w:tcPr>
            <w:tcW w:w="606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 רות לורך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נ </w:t>
            </w:r>
            <w:r>
              <w:rPr>
                <w:rtl w:val="true"/>
              </w:rPr>
              <w:br/>
            </w:r>
          </w:p>
        </w:tc>
        <w:tc>
          <w:tcPr>
            <w:tcW w:w="2660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מייסרה עיסא 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ליאת פלג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זילברשטיין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rtl w:val="true"/>
        </w:rPr>
        <w:t>חקיקה שאוזכרה</w:t>
      </w:r>
      <w:r>
        <w:rPr>
          <w:rStyle w:val="LineNumber"/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Style w:val="LineNumber"/>
          <w:rFonts w:cs="FrankRuehl" w:ascii="FrankRuehl" w:hAnsi="FrankRuehl"/>
          <w:rtl w:val="true"/>
        </w:rPr>
        <w:t xml:space="preserve">: </w:t>
      </w:r>
      <w:r>
        <w:rPr>
          <w:rStyle w:val="LineNumber"/>
          <w:rFonts w:ascii="FrankRuehl" w:hAnsi="FrankRuehl" w:cs="FrankRuehl"/>
          <w:rtl w:val="true"/>
        </w:rPr>
        <w:t>סע</w:t>
      </w:r>
      <w:r>
        <w:rPr>
          <w:rStyle w:val="LineNumber"/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rtl w:val="true"/>
        </w:rPr>
        <w:t>חקיקה שאוזכרה</w:t>
      </w:r>
      <w:r>
        <w:rPr>
          <w:rStyle w:val="LineNumber"/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Style w:val="LineNumber"/>
          <w:rFonts w:cs="FrankRuehl" w:ascii="FrankRuehl" w:hAnsi="FrankRuehl"/>
          <w:rtl w:val="true"/>
        </w:rPr>
        <w:t xml:space="preserve">: </w:t>
      </w:r>
      <w:r>
        <w:rPr>
          <w:rStyle w:val="LineNumber"/>
          <w:rFonts w:ascii="FrankRuehl" w:hAnsi="FrankRuehl" w:cs="FrankRuehl"/>
          <w:rtl w:val="true"/>
        </w:rPr>
        <w:t>סע</w:t>
      </w:r>
      <w:r>
        <w:rPr>
          <w:rStyle w:val="LineNumber"/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bookmarkStart w:id="10" w:name="ABSTRACT_START"/>
      <w:bookmarkEnd w:id="10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hyperlink r:id="rId22"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תקיפה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הגורמת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380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 המתוקן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31.10.2014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הצהריים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שפך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הכדורגל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ולטחנת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הקמח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קאסם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טויוטה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מהמשאית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בכביש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שבבעלותו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ידאג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והפילו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הקרקע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באגרופיו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הועיל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להתרומם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להיכנס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ולהתקשר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להזעיק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שזהותו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הטויוטה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ולנהוג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וצעק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נכנסו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הטויוטה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בנסיעה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2-3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בשמשה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הקדמית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ובחלון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התכופף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והמטומות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מחרדות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וכאבי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למשאית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הצהירו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מתחייבים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קאסם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עיסא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חאלד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בתרומתו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לקהילה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עארף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בוועדה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קאסם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המשתפת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חינך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הושגה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 המאשימה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7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בעתירתה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נקודתי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נשלט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מתגלגל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שנמשך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להוקיע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 ההגנה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30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הדורשת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מתכופף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לחסכון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תלושי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18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ומצטער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הערכים המוגנים שנפגעו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ומידת הפגיעה בהם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מבוטלת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ברכושו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ופיזית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כתגבורת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מחרדות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 ביצוע העבירות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</w:t>
      </w:r>
      <w:r>
        <w:rPr>
          <w:rFonts w:cs="David"/>
          <w:sz w:val="24"/>
          <w:sz w:val="24"/>
          <w:szCs w:val="24"/>
          <w:rtl w:val="true"/>
        </w:rPr>
        <w:t>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ובהסלמה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תחילתו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המשכו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דחיפות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ובעיטות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ההסלמה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נשלטת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המילולי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מראש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מיידית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שהתעורר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אדישותו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גרימתה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שאזלו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מצביעים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תעוזתו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עכבות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מתקיפתו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ורגלו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למשאיתו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מחרדות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וכאבי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מתמשכים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מדיניות הענישה הנהוגה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המקסימלי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קיימת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hyperlink r:id="rId26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4945/13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19.4.2014</w:t>
      </w:r>
      <w:r>
        <w:rPr>
          <w:rFonts w:cs="David"/>
          <w:sz w:val="24"/>
          <w:szCs w:val="24"/>
          <w:rtl w:val="true"/>
        </w:rPr>
        <w:t xml:space="preserve">); </w:t>
      </w:r>
      <w:hyperlink r:id="rId27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2398/14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אלהזייל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8.7.2014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זמינות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ומחלוקת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ניסיונו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המקסימלי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14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נעזרתי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ותשומת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מראש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hyperlink r:id="rId28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1880/14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19.11.2014</w:t>
      </w:r>
      <w:r>
        <w:rPr>
          <w:rFonts w:cs="David"/>
          <w:sz w:val="24"/>
          <w:szCs w:val="24"/>
          <w:rtl w:val="true"/>
        </w:rPr>
        <w:t xml:space="preserve">)-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מתלוננת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hyperlink r:id="rId29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5717/14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גדבאן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2.12.2014</w:t>
      </w:r>
      <w:r>
        <w:rPr>
          <w:rFonts w:cs="David"/>
          <w:sz w:val="24"/>
          <w:szCs w:val="24"/>
          <w:rtl w:val="true"/>
        </w:rPr>
        <w:t xml:space="preserve">)-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וצעק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הקרקע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קליע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מהקליעים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לאשפוז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גובסה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בעבירה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מושלמת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hyperlink r:id="rId30">
        <w:r>
          <w:rPr>
            <w:rStyle w:val="Hyperlink"/>
            <w:rFonts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מחוזי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נצרת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/>
            <w:sz w:val="24"/>
            <w:szCs w:val="24"/>
          </w:rPr>
          <w:t>35105-06-12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19.2.2013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u w:val="single"/>
          <w:rtl w:val="true"/>
        </w:rPr>
        <w:t>אליו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הפנתה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ויכוח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לרכבים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והחזקה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פציעה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ובתפקודו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hyperlink r:id="rId31">
        <w:r>
          <w:rPr>
            <w:rStyle w:val="Hyperlink"/>
            <w:rFonts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מחוזי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באר</w:t>
        </w:r>
        <w:r>
          <w:rPr>
            <w:rStyle w:val="Hyperlink"/>
            <w:rFonts w:cs="David"/>
            <w:sz w:val="24"/>
            <w:szCs w:val="24"/>
            <w:rtl w:val="true"/>
          </w:rPr>
          <w:t>-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שבע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/>
            <w:sz w:val="24"/>
            <w:szCs w:val="24"/>
          </w:rPr>
          <w:t>28139-10-13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אעמר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18.1.2015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u w:val="single"/>
          <w:rtl w:val="true"/>
        </w:rPr>
        <w:t>אליו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הפנתה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בספסל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הספסל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בעוד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ילדו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18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יושב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נשקפת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ממנו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מסוכנות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48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hyperlink r:id="rId32">
        <w:r>
          <w:rPr>
            <w:rStyle w:val="Hyperlink"/>
            <w:rFonts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מחוזי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חיפה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/>
            <w:sz w:val="24"/>
            <w:szCs w:val="24"/>
          </w:rPr>
          <w:t>36897-11-09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9.6.2010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u w:val="single"/>
          <w:rtl w:val="true"/>
        </w:rPr>
        <w:t>אליו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הפנתה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שניטש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שתי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שבבעלות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ופרנס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לאחר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בחינת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השיקולים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השונים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שהובאו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לעיל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אני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רואה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לקבוע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בגין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העבירות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בהן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הורשע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נע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cs="David"/>
          <w:b/>
          <w:bCs/>
          <w:sz w:val="24"/>
          <w:szCs w:val="24"/>
          <w:u w:val="single"/>
        </w:rPr>
        <w:t>5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 הראוי לנאשם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לחסכון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וזוהי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לפרנסתו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מעדויות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הדדית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להעדרו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לערך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2.11.2014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 ערעור לבית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 xml:space="preserve">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21/10/2015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רות לורך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21296-11-14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מייסרה עיסא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567" w:hanging="567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b w:val="false"/>
        <w:bCs w:val="fals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5.a.2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40ja.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35.a.2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40ja.5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/335.a.2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38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13093744" TargetMode="External"/><Relationship Id="rId28" Type="http://schemas.openxmlformats.org/officeDocument/2006/relationships/hyperlink" Target="http://www.nevo.co.il/case/18653904" TargetMode="External"/><Relationship Id="rId29" Type="http://schemas.openxmlformats.org/officeDocument/2006/relationships/hyperlink" Target="http://www.nevo.co.il/case/17948201" TargetMode="External"/><Relationship Id="rId30" Type="http://schemas.openxmlformats.org/officeDocument/2006/relationships/hyperlink" Target="http://www.nevo.co.il/case/3502956" TargetMode="External"/><Relationship Id="rId31" Type="http://schemas.openxmlformats.org/officeDocument/2006/relationships/hyperlink" Target="http://www.nevo.co.il/case/8437593" TargetMode="External"/><Relationship Id="rId32" Type="http://schemas.openxmlformats.org/officeDocument/2006/relationships/hyperlink" Target="http://www.nevo.co.il/case/4956663" TargetMode="External"/><Relationship Id="rId33" Type="http://schemas.openxmlformats.org/officeDocument/2006/relationships/hyperlink" Target="http://www.nevo.co.il/law/70301/40ja.5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2016-09-26T13:54:00Z</dcterms:created>
  <dc:creator> </dc:creator>
  <dc:description/>
  <cp:keywords/>
  <dc:language>en-IL</dc:language>
  <cp:lastModifiedBy>hofit</cp:lastModifiedBy>
  <dcterms:modified xsi:type="dcterms:W3CDTF">2016-09-26T13:54:00Z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מייסרה עיסא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7791493;13093744;18653904;17948201;3502956;8437593;4956663</vt:lpwstr>
  </property>
  <property fmtid="{D5CDD505-2E9C-101B-9397-08002B2CF9AE}" pid="9" name="CITY">
    <vt:lpwstr>מרכז</vt:lpwstr>
  </property>
  <property fmtid="{D5CDD505-2E9C-101B-9397-08002B2CF9AE}" pid="10" name="DATE">
    <vt:lpwstr>20151021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לורך</vt:lpwstr>
  </property>
  <property fmtid="{D5CDD505-2E9C-101B-9397-08002B2CF9AE}" pid="14" name="LAWLISTTMP1">
    <vt:lpwstr>70301/025;144.b;333;335.a.1;335.a.2;380;40ja.5</vt:lpwstr>
  </property>
  <property fmtid="{D5CDD505-2E9C-101B-9397-08002B2CF9AE}" pid="15" name="LAWYER">
    <vt:lpwstr>ליאת פלג;זילברשטיין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21296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390020151021</vt:lpwstr>
  </property>
  <property fmtid="{D5CDD505-2E9C-101B-9397-08002B2CF9AE}" pid="34" name="TYPE_N_DATE">
    <vt:lpwstr>39020151021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