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21333-12-19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קרש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רונן גינגולד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פהד קרש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איתן להמן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84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9" w:name="ABSTRACT_START"/>
      <w:bookmarkEnd w:id="9"/>
      <w:r>
        <w:rPr>
          <w:rFonts w:ascii="David" w:hAnsi="David"/>
          <w:rtl w:val="true"/>
        </w:rPr>
        <w:t>הנאשם הודה בעובדות כתב האישום המתוקן והורשע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הסעה שלא כדין של תושב זר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תשיב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הסעת נוסעים בשכר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תקנה </w:t>
        </w:r>
        <w:r>
          <w:rPr>
            <w:rStyle w:val="Hyperlink"/>
            <w:rFonts w:cs="David" w:ascii="David" w:hAnsi="David"/>
          </w:rPr>
          <w:t>84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תקנות התעבורה</w:t>
        </w:r>
      </w:hyperlink>
      <w:r>
        <w:rPr>
          <w:rFonts w:ascii="David" w:hAnsi="David"/>
          <w:rtl w:val="true"/>
        </w:rPr>
        <w:t xml:space="preserve"> 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22:39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נהג הנאשם ברכב בכביש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בסמוך למחלף לוד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באותן הנסיבות ישב במושב ליד הנהג קטין ובמושב האחורי ישבו שני תושבי האזור שהיו ללא אישורי שהייה בישראל ואשר אותן הסיע הנאשם בתמורה לתשלום כספי ששולם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תבקש לעצור את הרכב על ידי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עצר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למושב האחורי ומסר לשוטר שהוא לא נהג ברכב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 תסקיר לעונש מטעם שירות המבחן ואשר להלן עיקריו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במועד ביצוע העבירות שבהן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הוא כיום 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ונשוי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נעדר עבר פלילי וסיים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תעודת בגרות מלאה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 שולל שימוש בחומרים פסיכו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אקטיב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ים והתבקש למסור בדיקת שתן בשירות המבחן אשר נמצאה נקייה משרידי סם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קיבל אחריות מלאה על העבירות שבהן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שהנאשם הוא בעל מערכת ערכים נורמטיבית ו</w:t>
      </w:r>
      <w:r>
        <w:rPr>
          <w:rFonts w:ascii="David" w:hAnsi="David"/>
          <w:rtl w:val="true"/>
        </w:rPr>
        <w:t xml:space="preserve">עם </w:t>
      </w:r>
      <w:r>
        <w:rPr>
          <w:rFonts w:ascii="David" w:hAnsi="David"/>
          <w:rtl w:val="true"/>
        </w:rPr>
        <w:t>יכולת תפקודית ותעסוקתית 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התרשם שההליך המשפטי היווה עבור הנאשם גורם מרתיע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שירות המבחן המליץ לסיים את ההליך הנוכחי בצו ש</w:t>
      </w:r>
      <w:r>
        <w:rPr>
          <w:rFonts w:ascii="David" w:hAnsi="David"/>
          <w:rtl w:val="true"/>
        </w:rPr>
        <w:t xml:space="preserve">ירות לתועלת הציבור בהיקף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הומלץ על צו מבחן למשך שנה וחצי על מנת לאפשר לו להשלים הליך טיפולי משמעותי ומעמיק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שהעונש הראוי בנסיבות העניין הוא מאסר בפועל שיכול וירוצה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בתוספת 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גם הפנתה לרישום התעבו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תי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 כוח הנאשם </w:t>
      </w:r>
      <w:r>
        <w:rPr>
          <w:rFonts w:ascii="David" w:hAnsi="David"/>
          <w:rtl w:val="true"/>
        </w:rPr>
        <w:t>הפנה לאמור בתסקיר שרות המבחן וביקש שבית המשפט יאמץ את ההמלצה שבו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 כל שכן</w:t>
      </w:r>
      <w:r>
        <w:rPr>
          <w:rFonts w:ascii="David" w:hAnsi="David"/>
          <w:rtl w:val="true"/>
        </w:rPr>
        <w:t xml:space="preserve"> לאור העובדה שהנאשם עובד היום ב</w:t>
      </w:r>
      <w:r>
        <w:rPr>
          <w:rFonts w:ascii="David" w:hAnsi="David"/>
          <w:rtl w:val="true"/>
        </w:rPr>
        <w:t xml:space="preserve">סניף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שופרסל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ושליחתו למאסר שירוצה בדרך של עבודות שירות </w:t>
      </w:r>
      <w:r>
        <w:rPr>
          <w:rFonts w:ascii="David" w:hAnsi="David"/>
          <w:rtl w:val="true"/>
        </w:rPr>
        <w:t xml:space="preserve">עלולה להביא </w:t>
      </w:r>
      <w:r>
        <w:rPr>
          <w:rFonts w:ascii="David" w:hAnsi="David"/>
          <w:rtl w:val="true"/>
        </w:rPr>
        <w:t xml:space="preserve">לפיטורו </w:t>
      </w:r>
      <w:r>
        <w:rPr>
          <w:rFonts w:ascii="David" w:hAnsi="David"/>
          <w:rtl w:val="true"/>
        </w:rPr>
        <w:t xml:space="preserve">מעבודתו ובכך ייפגע מקור </w:t>
      </w:r>
      <w:r>
        <w:rPr>
          <w:rFonts w:ascii="David" w:hAnsi="David"/>
          <w:rtl w:val="true"/>
        </w:rPr>
        <w:t>פרנס</w:t>
      </w:r>
      <w:r>
        <w:rPr>
          <w:rFonts w:ascii="David" w:hAnsi="David"/>
          <w:rtl w:val="true"/>
        </w:rPr>
        <w:t>תו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מדיניות הענישה בעבירות של הסעה הלנה והעסקה של תושב האזור נקבעה ב</w:t>
      </w:r>
      <w:r>
        <w:rPr>
          <w:rFonts w:cs="David" w:ascii="David" w:hAnsi="David"/>
          <w:rtl w:val="true"/>
        </w:rPr>
        <w:t xml:space="preserve">-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3674/04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סאלם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12.2.06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להלן תמצית הכללים שנקבעו באותה הלכה לגבי הענישה הראויה בעבירות מעין אלה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להלכה שנקבעה ב</w:t>
      </w:r>
      <w:r>
        <w:rPr>
          <w:rFonts w:cs="David" w:ascii="David" w:hAnsi="David"/>
          <w:rtl w:val="true"/>
        </w:rPr>
        <w:t>-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5198/01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טלעת חטיב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 פ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ד נו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769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שתי אונות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האונה האחת היא שעבירה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עבירה חמורה וכי העונש הראוי לה הוא עונש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האונה השניה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נסובה על החריג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היינו אותן נסיבות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יוצאות מגדר הרגיל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העשויות לשלול הטלתו של עונש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שתי האונות כפופות לעיקרון היסוד בדיני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כי ענישה בפלילים לעולם ענישה אינדיבידואלית היא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 xml:space="preserve">מדיניות הענישה הראויה בעבירות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נוטה לעבר הטלת עונש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שמדיניות זו תולה עצמה בנסיבותיו האישיות של כל מקרה ומקרה והעונש שיושת על עבריין חייב להלום את נסיבותיו של המקרה ושל העבריין הספציפי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מדיניות הענישה המחמירה עדיין תקפה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ניתן גם לחשוב על מקרים מתאימים שבהם ניתן לשרת את האינטרס הציבורי בעונשים שאינם דווקא של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אלא תמהיל של אמצעים אחרים</w:t>
      </w:r>
      <w:r>
        <w:rPr>
          <w:rFonts w:ascii="David" w:hAnsi="David"/>
          <w:rtl w:val="true"/>
        </w:rPr>
        <w:t xml:space="preserve"> כגון קנס כספי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התחייבות כספית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שלילת רישיון נהיגה ותפיסה וחילוט של רכב שבו בוצעה עבירת ההסעה שלא כדין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13-11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hanging="697" w:start="141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יש ליישם את ההלכה על פי נסיבותיו של 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לתת ביטוי לנסיבותיו האישיות של העבריין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 בריאותו ומצבו המשפחתי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משקל רב יש לתת לנסיבות ביצוע העבירה ולמניעיו של העבריין ובייחוד יש להתחשב בסיכון שיצר הנאשם לשלום הציבור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אביא שתי דוגמאות מפסיקתו של בית המשפט העליון בעבירה של הסעה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הלנה או העסקה של תושב אזור שלא כדין ושבהן הענישה הסתיימה בצו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ascii="David" w:hAnsi="David"/>
          <w:rtl w:val="true"/>
        </w:rPr>
        <w:t xml:space="preserve"> וקנס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על מנת ללמד על הגבול התחתון של מתחם העונש ההולם שרלוונטי לאירוע מושא כתב האישום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5861/11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דניאל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18.8.11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היה כבאי בעיסוקו והורשע בביצוע עבירה של העסקת תושב זר שלא כדין בכך שהעסיק תושב האזור במוסך הממוקם בסמוך 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בחדרה ביטל את ההרשעה והשית עליו 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שירות לתועלת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נימק את החלטתו בכך שהתקבל תסקיר חיובי בעניינו של המבקש והביע חשש שהרשעתו תסכן את המשך העסקת המבקש ככבאי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המדינה הגישה ערעור על גזר הדין לבית המשפט המחוזי בחיפה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לעניין שאלת אי ההרשעה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התקבל והמבקש הורשע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1119/18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9.5.18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בביצוע עבירה של הסעה שלא כדין של שני תושבי האזור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היה עובד סוציאלי בהכשרתו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לשלושה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 וללא תיקים תלויים ועומדים כנגדו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עסק גם בהוראת נהיגה ובתחום השיפוצים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בכפר סבא דחה את בקשתו של המבקש לביטול 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אף קיומו של תסקיר מטעם שירות המבחן לבטל את ההרשעה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הושתו על המבקש העונשים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 שירות לתועלת הציבור בהיקף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כספי בסך של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ופסילה על תנאי של רישיון הנהיגה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במחוז מרכז אשר נסוב על שאלת הרשעתו בדין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 ובקשת רשות ערעור שהגיש לבית המשפט העליון נדחתה גם 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לפיכך הנני קובע כי מתחם העונש ההולם נע בין מאסר על תנאי בצירוף שעות שירות לתועלת הציבור וקנס ועד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כל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היעדר עבר פלילי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היותו של הנאשם נשוי ועובד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פרנסת</w:t>
      </w:r>
      <w:r>
        <w:rPr>
          <w:rFonts w:ascii="David" w:hAnsi="David"/>
          <w:rtl w:val="true"/>
        </w:rPr>
        <w:t xml:space="preserve">ו ולפרנסת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קיומו של </w:t>
      </w:r>
      <w:r>
        <w:rPr>
          <w:rFonts w:ascii="David" w:hAnsi="David"/>
          <w:rtl w:val="true"/>
        </w:rPr>
        <w:t xml:space="preserve">חשש </w:t>
      </w:r>
      <w:r>
        <w:rPr>
          <w:rFonts w:ascii="David" w:hAnsi="David"/>
          <w:rtl w:val="true"/>
        </w:rPr>
        <w:t xml:space="preserve">ממשי </w:t>
      </w:r>
      <w:r>
        <w:rPr>
          <w:rFonts w:ascii="David" w:hAnsi="David"/>
          <w:rtl w:val="true"/>
        </w:rPr>
        <w:t>שיפסיד את מקום עבודתו היה ו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ישלח לביצוע עבודות שירות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 הצעיר בעת ביצוע העבירות שבהן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>";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ההודיה וקבלת האחריות ועקב כך חיסכון בזמן שיפוטי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מכלול הנסיבות לקולא שפורטו לעיל הובילו אותי למסקנה שיש להציב את הנאשם בחלק התחתון של מתחם העונש ההולם שקבעתי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שלושה 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שאותם ירצה </w:t>
      </w:r>
      <w:r>
        <w:rPr>
          <w:rFonts w:ascii="David" w:hAnsi="David"/>
          <w:rtl w:val="true"/>
        </w:rPr>
        <w:t xml:space="preserve">רק אם תוך שנתיים מהיום יבצע עבירה לפי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יבצע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שירות לתועלת הציבור על פי תכנית שתגובש על ידי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או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הראשון שבהם עד ליום </w:t>
      </w:r>
      <w:r>
        <w:rPr>
          <w:rFonts w:cs="David" w:ascii="David" w:hAnsi="David"/>
        </w:rPr>
        <w:t>1.3.22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והאחד התשלומים לא ישולם במועד 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 מ</w:t>
      </w:r>
      <w:r>
        <w:rPr>
          <w:rFonts w:ascii="David" w:hAnsi="David"/>
          <w:rtl w:val="true"/>
        </w:rPr>
        <w:t>טיל</w:t>
      </w:r>
      <w:r>
        <w:rPr>
          <w:rFonts w:ascii="David" w:hAnsi="David"/>
          <w:rtl w:val="true"/>
        </w:rPr>
        <w:t xml:space="preserve"> על הנאשם צו מבחן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מהיום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היה 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לא יעמוד בתנאי צו המבחן או לא יבצע את שעות השירות לתועלת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מוזהר שבית המשפט רשאי לבטל את צו המבחן וגם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 xml:space="preserve">שעות השירות לתועלת הציבור ולהשית עליו כל עונש אחר לרבות מאסר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רשמתי בפני את התחייבותו של הנאשם באולם כעת לקיים את צו השל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ואת צו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המזכירות תשגר העתק גזר הדין לשירות המבחן אשר יגיש </w:t>
      </w:r>
      <w:r>
        <w:rPr>
          <w:rFonts w:ascii="David" w:hAnsi="David"/>
          <w:rtl w:val="true"/>
        </w:rPr>
        <w:t xml:space="preserve">הודעה לבית המשפט עד ליום </w:t>
      </w:r>
      <w:r>
        <w:rPr>
          <w:rFonts w:cs="David" w:ascii="David" w:hAnsi="David"/>
        </w:rPr>
        <w:t>1.3.22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תכנית השל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שתגובש עבור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2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 שבט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ינואר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21333-12-19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פהד קרש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" TargetMode="External"/><Relationship Id="rId4" Type="http://schemas.openxmlformats.org/officeDocument/2006/relationships/hyperlink" Target="http://www.nevo.co.il/law/90721/12a.c.1" TargetMode="External"/><Relationship Id="rId5" Type="http://schemas.openxmlformats.org/officeDocument/2006/relationships/hyperlink" Target="http://www.nevo.co.il/law/74274" TargetMode="External"/><Relationship Id="rId6" Type="http://schemas.openxmlformats.org/officeDocument/2006/relationships/hyperlink" Target="http://www.nevo.co.il/law/74274/84.a" TargetMode="External"/><Relationship Id="rId7" Type="http://schemas.openxmlformats.org/officeDocument/2006/relationships/hyperlink" Target="http://www.nevo.co.il/law/90721/12a.c.1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74274/84.a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case/5908341" TargetMode="External"/><Relationship Id="rId12" Type="http://schemas.openxmlformats.org/officeDocument/2006/relationships/hyperlink" Target="http://www.nevo.co.il/case/5999544" TargetMode="External"/><Relationship Id="rId13" Type="http://schemas.openxmlformats.org/officeDocument/2006/relationships/hyperlink" Target="http://www.nevo.co.il/law/90721/12a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90721/12a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case/6036789" TargetMode="External"/><Relationship Id="rId18" Type="http://schemas.openxmlformats.org/officeDocument/2006/relationships/hyperlink" Target="http://www.nevo.co.il/case/23750920" TargetMode="External"/><Relationship Id="rId19" Type="http://schemas.openxmlformats.org/officeDocument/2006/relationships/hyperlink" Target="http://www.nevo.co.il/law/90721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2023-03-20T12:28:00Z</dcterms:created>
  <dc:creator> </dc:creator>
  <dc:description/>
  <cp:keywords/>
  <dc:language>en-IL</dc:language>
  <cp:lastModifiedBy>h1</cp:lastModifiedBy>
  <dcterms:modified xsi:type="dcterms:W3CDTF">2023-03-20T12:28:00Z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פהד קרש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5908341;5999544;6036789;23750920</vt:lpwstr>
  </property>
  <property fmtid="{D5CDD505-2E9C-101B-9397-08002B2CF9AE}" pid="9" name="CITY">
    <vt:lpwstr>רמ'</vt:lpwstr>
  </property>
  <property fmtid="{D5CDD505-2E9C-101B-9397-08002B2CF9AE}" pid="10" name="DATE">
    <vt:lpwstr>20220119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90721/012a.c.1;012a:2</vt:lpwstr>
  </property>
  <property fmtid="{D5CDD505-2E9C-101B-9397-08002B2CF9AE}" pid="15" name="LAWLISTTMP2">
    <vt:lpwstr>74274/084.a</vt:lpwstr>
  </property>
  <property fmtid="{D5CDD505-2E9C-101B-9397-08002B2CF9AE}" pid="16" name="LAWYER">
    <vt:lpwstr>רונן גינגולד;איתן להמן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21333</vt:lpwstr>
  </property>
  <property fmtid="{D5CDD505-2E9C-101B-9397-08002B2CF9AE}" pid="23" name="NEWPARTB">
    <vt:lpwstr>12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380020220119</vt:lpwstr>
  </property>
  <property fmtid="{D5CDD505-2E9C-101B-9397-08002B2CF9AE}" pid="35" name="TYPE_N_DATE">
    <vt:lpwstr>38020220119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