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21388-11-10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 גרבאן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95"/>
        <w:gridCol w:w="2536"/>
        <w:gridCol w:w="1883"/>
        <w:gridCol w:w="3706"/>
      </w:tblGrid>
      <w:tr>
        <w:trPr>
          <w:trHeight w:val="295" w:hRule="atLeast"/>
        </w:trPr>
        <w:tc>
          <w:tcPr>
            <w:tcW w:w="5114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לפני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סגן נשיא</w:t>
            </w:r>
          </w:p>
        </w:tc>
        <w:tc>
          <w:tcPr>
            <w:tcW w:w="370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>
          <w:trHeight w:val="295" w:hRule="atLeast"/>
        </w:trPr>
        <w:tc>
          <w:tcPr>
            <w:tcW w:w="6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8125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/>
        <w:tc>
          <w:tcPr>
            <w:tcW w:w="323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המאשימה</w:t>
            </w:r>
          </w:p>
        </w:tc>
        <w:tc>
          <w:tcPr>
            <w:tcW w:w="558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ע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י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רועי פרי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cs="Arial" w:ascii="Arial" w:hAnsi="Arial"/>
                <w:rtl w:val="true"/>
                <w:lang w:val="en-IL" w:eastAsia="en-IL"/>
              </w:rPr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3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הנאשם</w:t>
            </w:r>
          </w:p>
        </w:tc>
        <w:tc>
          <w:tcPr>
            <w:tcW w:w="5589" w:type="dxa"/>
            <w:gridSpan w:val="2"/>
            <w:tcBorders/>
          </w:tcPr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 xml:space="preserve">עבד הנא גרבאן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  <w:t>)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ע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י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רן עמר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לפני מיכל ברנט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29-11-2010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29-11-2010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לפני 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– </w:t>
      </w:r>
      <w:r>
        <w:rPr>
          <w:rFonts w:ascii="FrankRuehl" w:hAnsi="FrankRuehl" w:cs="FrankRuehl"/>
          <w:rtl w:val="true"/>
        </w:rPr>
        <w:t xml:space="preserve">אין התייצבות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מחמת שביתת פרקליטים</w:t>
      </w:r>
      <w:r>
        <w:rPr>
          <w:rFonts w:cs="FrankRuehl" w:ascii="FrankRuehl" w:hAnsi="FrankRuehl"/>
          <w:rtl w:val="true"/>
        </w:rPr>
        <w:t xml:space="preserve">), – </w:t>
      </w:r>
      <w:r>
        <w:rPr>
          <w:rFonts w:ascii="FrankRuehl" w:hAnsi="FrankRuehl" w:cs="FrankRuehl"/>
          <w:rtl w:val="true"/>
        </w:rPr>
        <w:t>אין התייצבות 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27-12-2010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– </w:t>
      </w:r>
      <w:r>
        <w:rPr>
          <w:rFonts w:ascii="FrankRuehl" w:hAnsi="FrankRuehl" w:cs="FrankRuehl"/>
          <w:rtl w:val="true"/>
        </w:rPr>
        <w:t xml:space="preserve">אין התייצבות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מחמת שביתת הפרקליטים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30-01-2011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ורדה מרוז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03-03-2011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ורדה מרוז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14-03-2011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28-03-2011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ורדה מרוז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טנקג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27-04-2011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06-06-2011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17-07-2011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21-07-2011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עבד הנא גרבאן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26-09-2011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6941/11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עבד גרבאן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לפני מיכל ברנט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29-11-2010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29-11-2010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לפני 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– </w:t>
      </w:r>
      <w:r>
        <w:rPr>
          <w:rFonts w:ascii="FrankRuehl" w:hAnsi="FrankRuehl" w:cs="FrankRuehl"/>
          <w:rtl w:val="true"/>
        </w:rPr>
        <w:t xml:space="preserve">אין התייצבות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מחמת שביתת פרקליטים</w:t>
      </w:r>
      <w:r>
        <w:rPr>
          <w:rFonts w:cs="FrankRuehl" w:ascii="FrankRuehl" w:hAnsi="FrankRuehl"/>
          <w:rtl w:val="true"/>
        </w:rPr>
        <w:t xml:space="preserve">), – </w:t>
      </w:r>
      <w:r>
        <w:rPr>
          <w:rFonts w:ascii="FrankRuehl" w:hAnsi="FrankRuehl" w:cs="FrankRuehl"/>
          <w:rtl w:val="true"/>
        </w:rPr>
        <w:t>אין התייצבות 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27-12-2010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– </w:t>
      </w:r>
      <w:r>
        <w:rPr>
          <w:rFonts w:ascii="FrankRuehl" w:hAnsi="FrankRuehl" w:cs="FrankRuehl"/>
          <w:rtl w:val="true"/>
        </w:rPr>
        <w:t xml:space="preserve">אין התייצבות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מחמת שביתת הפרקליטים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30-01-2011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עבד הנא גרבאן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ורדה מרוז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03-03-2011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ורדה מרוז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14-03-2011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28-03-2011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ורדה מרוז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טנקג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27-04-2011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06-06-2011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17-07-2011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עבד הנא גרבאן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21-07-2011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21388-11-10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עבד הנא גרבאן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רן עמר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26-09-2011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6941/11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עבד גרבאן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03-10-2011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6941/11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עבד גרבאן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9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הרשעת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31.1.91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שהושג לאחר 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במיוחס לו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התביעה תעתור לעונש ראוי ואילו ההגנה תטען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על פי המפורט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ספטמבר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עם מרדכי חיימוב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המשרת בבסיס אחסנה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חיימוב</w:t>
      </w:r>
      <w:r>
        <w:rPr>
          <w:rFonts w:cs="Arial" w:ascii="Arial" w:hAnsi="Arial"/>
          <w:rtl w:val="true"/>
        </w:rPr>
        <w:t>", "</w:t>
      </w:r>
      <w:r>
        <w:rPr>
          <w:rFonts w:ascii="Arial" w:hAnsi="Arial" w:cs="Arial"/>
          <w:b/>
          <w:b/>
          <w:bCs/>
          <w:rtl w:val="true"/>
        </w:rPr>
        <w:t>הבסיס הצבאי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לפיו חיימוב יוציא כלי נשק מהבסיס הצבאי ואילו הנאשם ידאג למכרם</w:t>
      </w:r>
      <w:bookmarkStart w:id="12" w:name="ABSTRACT_END"/>
      <w:bookmarkEnd w:id="12"/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13.9.10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 חיימוב עם הנאשם וסיכם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שהאחרון יגיע לבסיס הצבאי על מנת לקחת את כלי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שיתף הנאשם את משה ארביב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ארביב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ועמיר יעקב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עמיר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תושבי כפר יונה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בפרטי הקשר הפלילי והשלושה קשרו קשר לקבל לידיהם את כלי הנשק שיוצאו מהבסיס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למכרם ולחלוק את השלל הכספי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הקשר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בשעות הלילה שבין </w:t>
      </w:r>
      <w:r>
        <w:rPr>
          <w:rFonts w:cs="Arial" w:ascii="Arial" w:hAnsi="Arial"/>
        </w:rPr>
        <w:t>13-14.9.10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לקשר ולצורך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אסף עמיר את ארביב  ברכבו מסוג סוזוקי בלנו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משם המשיכו לנתניה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לאסוף את הנאשם מביתו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 במטרה  להגיע לבסיס הצבאי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עמיר וארביב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השלושה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הגיעו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בהכוונת חיימוב את הנאשם בטלפון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למקום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בכביש הסמוך לגדר הבסיס הצבאי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המתינו בצידו הפנימי של הבסיס חיימוב וחייל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קובי דרי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קובי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אשר העבירו לשלושה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שהוציאו קודם לכן מהבסיס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פרצה מתחת לגדר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כלי הנשק כללו עשרה רובי אמ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מקלע 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ומטול רימונים אמ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כלי הנשק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השלושה הכניסו את כלי הנשק לתא המטען של הרכב ונסעו לכפר יונה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ניגבו אותם על מנת שלא להותיר עליהם טביעות אצבע ונסעו לבית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בנתניה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לאפסנם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שני רובי אמ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שנטלו עמיר וארביב לעצמם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הנאשם נטל לעצמו רובה אחד מסוג אמ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למוחמד גאלולי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הכניסו בסוד הקשר וביקשו למצוא קונה לכלי הנשק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גאלולי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גאלולי לבית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בדק את כלי הנשק והבטיח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יימכרו עד סוף 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ביום המחרת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גאלולי לביתו של הנאשם עם שניים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שזהותם איננה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לרכוש את כלי הנשק כאשר בהמשך הסיע את כלי הנשק שנותרו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שהשלושה נטלו לעצמם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למקום מושבם של האחרים וקיבל תמורתם סך של </w:t>
      </w:r>
      <w:r>
        <w:rPr>
          <w:rFonts w:cs="Arial" w:ascii="Arial" w:hAnsi="Arial"/>
        </w:rPr>
        <w:t>230,000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גאלולי נטל לעצמו 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מהתמורה והעביר את היתרה לידי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היתרה חילק הנאשם בינו לבין שותפיו על ידי העברת  סכום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לעמיר ולארביב ואילו הוא עצמו נטל מעל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מכר הנאשם גם את רובה האמ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שהותיר ברשותו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לגאלולי תמורת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</w:t>
      </w:r>
      <w:r>
        <w:rPr>
          <w:rFonts w:cs="Arial" w:ascii="Arial" w:hAnsi="Arial"/>
        </w:rPr>
        <w:t>5000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שולמו במזומן ואילו בעבור היתרה העביר לנאשם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שזהותו איננה ידועה למאשימה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במחצית השנייה של חודש ספטמבר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גאלולי לנאשם על מנת שישיג מחסניות עם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שיתאימו לרובי האמ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שנרכשו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הנאשם לחיימוב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עשה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תיאום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ובמועד שאיננו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וגאלולי בסמיכות לבסיס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מסר להם חיימוב שבע מחסניות עם כדורים המותאמות לרובי אמ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הוציא מהבסיס הצבאי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החזיר הנאשם את האקדח לגאלולי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הנאשם בעבירה של </w:t>
      </w:r>
      <w:r>
        <w:rPr>
          <w:rFonts w:ascii="Arial" w:hAnsi="Arial" w:cs="Arial"/>
          <w:b/>
          <w:b/>
          <w:bCs/>
          <w:rtl w:val="true"/>
        </w:rPr>
        <w:t>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3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b/>
          <w:b/>
          <w:bCs/>
          <w:rtl w:val="true"/>
        </w:rPr>
        <w:t>נשיאת והובלת נשק</w:t>
      </w:r>
      <w:r>
        <w:rPr>
          <w:rFonts w:ascii="Arial" w:hAnsi="Arial" w:cs="Arial"/>
          <w:rtl w:val="true"/>
        </w:rPr>
        <w:t xml:space="preserve"> לפי </w:t>
      </w:r>
      <w:hyperlink r:id="rId3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ביחד עם </w:t>
      </w:r>
      <w:hyperlink r:id="rId3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וכן בעבירה של </w:t>
      </w:r>
      <w:r>
        <w:rPr>
          <w:rFonts w:ascii="Arial" w:hAnsi="Arial" w:cs="Arial"/>
          <w:b/>
          <w:b/>
          <w:bCs/>
          <w:rtl w:val="true"/>
        </w:rPr>
        <w:t xml:space="preserve">קשירת קשר לפשע </w:t>
      </w:r>
      <w:r>
        <w:rPr>
          <w:rFonts w:ascii="Arial" w:hAnsi="Arial" w:cs="Arial"/>
          <w:rtl w:val="true"/>
        </w:rPr>
        <w:t xml:space="preserve">לפי </w:t>
      </w:r>
      <w:hyperlink r:id="rId3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התסקירים והנסיבות האישיות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הזמנתי תסקיר מטעם שירות המבחן בעבור הנאשם לאור גילו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בעניינו של הנאשם הגיש שירות המבחן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מיוני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 רקע תקלה לא פגש בנאשם ולפיכך התסקיר הסתמך על תסקיר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שנערך בעניינו בעטיין של העבירות נשוא 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שעיינתי בתסקיר ולאור בקשת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לצורך בהגשת תסקיר עדכני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הוריתי לשירות המבחן להגיש תסקיר משלים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שיתבסס על פגישה עם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יליד הארץ ממוצא ערבי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נתניה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מתולדותיו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הינו הצעיר מבין שישה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לו עוד אחות למחצה מאביו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הוריו התגרשו בהיותו  כבן שנתיים כאשר על רקע זה עמד ניסיון לרצח האם בידי 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עקרה האם עם ילדיה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אלזרקה לנתניה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הקשר עם האב נותק והוא מנהל אורח חיים התמכרותי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עקרת 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סולק מבית הספר לאחר תשע שנות לימוד על רקע בעיות התנהגות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עבד כעוזר נהג בחלוקת משקאות ובמקביל התחבר לחברה שולית וגילה מעורבות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 הופנה לשירות המבחן כנער ונידון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למאסר בפועל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שוחרר כאסיר ברישיון והיה בטיפול הרשות לשיקום האסיר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ועד למעצרו הנוכחי עבד באורח יציב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עבר פלילי עוד מעצם היותו נער בגין שורה של עבירות מתחום האלימות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הנהיגה והפרת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בגינם יש שני מאסרים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בני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הפעלה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הסביר את הרקע למעשיו כקשור למניעים כספיים ולנגררות חברתית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צייר תמונה של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שגדל במשפחה מרובת בעיות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בצל אב ואח אלימים שהשרו אווירה של פחד וטרור ולצד אם חלשה שהתקשתה להציב גבולות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לבד ממה שנזכר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במי שמגלה התנהגות אימפולסיבית ואלימה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ומתקשה לשמור על אורח חיים יציב ללא מעורבות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מאסר על תנאי מרחף מעל ראשו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מהתסקיר המשלים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מאז מעצרו השלים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החינוך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השכלתו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בהצלחה בחינות בגרות ואף קיבל אות הצטיינות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את העבירות דנן לאחר שהתפתה להצעת אחד הנאשמים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פניית גורמים עבריינים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בדרישה שימסור להם את הנשק המכור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חשש לחייו ופנה מיוזמתו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חשיפת שותפיו לעבירה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הוא עצור כטעון הגנה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לכסף שקיבל תמורת העסקאות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כי  אינו ברשותו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שהשתמש בו עבור מספר טיולים לחו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צער על מעשיו ועל מעידתו למרות ניסיונותיו להתנתק מעולם הפשע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התרשמות שירות המבחן הינה מנאשם בעל רצון כן לפתוח דף 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בשל חומרת העבירה ורף הענישה אליו מתייחס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מליתן המלצה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פרטי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אותה ביצע הנאשם והפנה לרישומים הפליליים לחובתו כמו גם למאסר על תנאי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הפעלה בתיק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ביצוע העבירה נשוא תיק זה מהווה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קפיצת מדרגה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בהשוואה לרישומיו הפליליים הקודמים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עוד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או החזקת רכוש 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הוצאת כלי נשק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וסחר בהם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 בהרחבה את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שהדגיש את ההיבטים לחומרה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עסקינן באביה הרוחני של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מחולל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 שהשליטה בכלי הנשק הייתה שלו לאורך כל ציר הזמן לרבות איפסונם בביתו והוא אף שקובע למי יימכרו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בסופה של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שמקבל את התמורה הכספית הגדולה ביותר מכל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יתר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אינו מעביר כל תמורה לחייל על מעשיו וחלקו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בעבירה חמורה שמעורבים בה תעוזה ותכנון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בכמות נכבדה של כלי נשק מסוכנים ובמספר עסקאות של סחר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הנשק סווגו על ידי המחוקק כעבירות 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משום עילת מסוכנות טבועה וסטטוטורית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משלא בחל לסכן את שלום הציבור וביטחונו ומכר כלי נשק צבאיים גנובים לגורמים עברייניים שהדרך מהם לגורמים עוינים היא קצרה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לחקיקה ולפסיקה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מתחום הפצת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בתי המשפט לשים לנגד עיניהם במעמד בכורה את האינטרס הציבורי על פני נסיבותיו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עניין לנו בנאשם בעל עבר פלילי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שהספיק לרצות מאסר בפועל בין כותלי 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ביצע את העבירה לשם בצע כסף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כלי הנשק לא אותרו עד עצם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אלה נתונים שיש בהם להביא להחמרה בענישה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למצוא אף מספר נימוקים לקולא – המדובר בכתב אישום מתוקן שהינו חמור פחות מכתב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בנאשם אשר מגיע למשטרה מיוזמתו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מודה ומשתף פעולה באופן מלא עם גורמי אכיפת החוק בחקירתו תוך חשיפת שותפיו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מביע חרטה בפני שירות המבחן ועל ידי כך מביא לחיסכון בזמן שיפוטי ניכר ובצורך בהבאת עדים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האיזון הראוי שבין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 את העונש אותו הציעה התביעה כעונש 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 שבע וחצי שנות מאסר לריצוי בפועל מיום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הפעלת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 כספי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רמת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 עותרת התביעה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מותאמת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 המיוחדות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מיוזמתו ובאופן וולונטארי לחלוטין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שאוים על ידי גורמים עברייניים להעביר להם את התמורה שקיבל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וחושף את כל הפרשייה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ביצוע שיחות טלפון מוקלטות עם שותפיו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 ביקש לשמש כעד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למרות שסורב בשל מעמדו ומעורבותו הבכירה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כדי לעצרו מלשתף פעולה ומלהפליל את יתר שותפיו לעבירה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אף פירט 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אודות הסדרי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יתר השותפים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לשכוח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חלקם פחות מזה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ברגיל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התביעה הייתה עותרת לענישה דו ספרתית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בשקלול כל הנסיבות הצעת התביעה הולמת את הנסיבות שבענייננו כאשר על שיעור הקנס להביא בחשבון את הרווח שהיה לנאשם ממעשיו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התסקיר המשלים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מתאר באור חיובי את השינוי שחולל הנאשם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בסופו של יום שירות המבחן נמנע מלבוא בהמלצה בעניינו לאור חומרת העבירות ורף הענישה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להצדקת עמדתו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לפסיקה הנוהגת בעבירות מסוג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את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הורשע על פי הודאתו בכתב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שתוקן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וחסך מזמנו היקר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התביעה ושל עשרות עדים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שהודייתו סללה את הדרך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לסיום עניינם של שאר המעורבים בפרשה תוך שהפנה להסדרי הטיעון שהתגבשו בעניינם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הפנה לנסיבותיו האישיות הקשות ולקורות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שפורטו בתסקירי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הובילו אותו לחפש תמיכה בחיק חברה שולית ועבריינית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שבתיקים מסוג זה הנסיבות האישיות אינן מקבלות מעמד של בכורה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בהחלט ראויות למידה מסוימת של התחשבות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רכוש ואלימות במדרג נמוך יחסית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ציין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מקריאת כתבי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שהוגשו בעניינם של כל הנאשמים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מצטיירת תמונה לפיה חלקו של הנאשם מרכזי יותר מזה של האחרים וזאת מאחר שקשר את הקשר עם החיילים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שגנבו את הנשקים לבין שותפיו ואף דאג לקדם מכירתם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לעובדות כתבי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מלמדות על חלקו של כל אחד ואחד מהשותפים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המחייבות גזירה שווה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התנהלותו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ראויה לשבח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ובהשוואה לנאשמים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במי שהגיע למשטרה מיוזמתו ומבקש לחשוף את כל הפרשה לרבות את המעורבים בה תמורת שיוכרז כעד 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שאוים על ידי גורמים עברייניים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לאחר שהובהר  לו שבעקבות חלקו אינו יכול לשמש כעד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חושף את הפרשה במלואה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לוקח אחריות על חלקו ומפליל את יתר כל המעורבים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ציין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בהתנהלות המשטרה יש משום טעם לפגם ופגיעה בזכותו של חשוד להיוועץ בעו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לפני תחילת חקירתו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רק לאחר שהנאשם מסר הודאתו נמסרה הודעה על מעצרו לסניגוריה הציבורית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בדיון להארכת מעצרו בבית המשפט השלום בכפר סבא לא היה מעוניין בייצוג הסניגוריה הציבורית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משנאמר לו על ידי חוקריו שעדיף כך כדי שהחקירה לא תודלף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תוך הפנייה להנחיות היועץ המשפטי לממשלה בעניין עד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אילו הנאשם היה זוכה לייצוג 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 מן הנמנע שהיה משמש כעד מדינה וככזה היה פטור מענישה וזוכה להגנה עם שחרורו מהמעצר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על שיתוף הפעולה מצד הנאשם עם חוקרי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פעולות אקטיביות להפללת שותפיו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הפנה 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לפיהם אילולא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לתביעה היה קושי ראייתי בכל הנוגע להוכחת חלקם של שאר השותפים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היפנה גם לפרוטוקול דיון במסגרת תיק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רק בזכות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התגלה דבר גניבת הנשקים לרשויות הצבא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כל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להתחשב בנאשם ולהקל משמעותית בעונשו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בעוד שהנאשם שיתף פעולה באופן מלא עם חוקריו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יתר השותפים הכחישו מעורבותם בפרשה והודו רק לאחר שהוצעה להם עסקת 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התייחס להסדרי הטיעון אשר התגבשו עם יתר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עתירת המאשימה לעונש העולה על עונשם של השותפים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ראויה ואינה עולה בקנה אחד עם עקרון אחידות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למה שציין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הגדול יותר של הנאשם בשלל אינו מצדיק ענישה מחמירה יותר בעניינו לאור 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שעברם הפלילי של האחרים מכביד ממנו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להצדקת עמדתו הציג פסיקה והיפנה למקרה חמור מזה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הקל בית משפט  שלערעור עם נאשם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של תסקיר חיובי והפחית מעונש המאסר שנגזר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להטיל על הנאשם עונש של מאסר בפועל שאינו חמור מזה של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יבטא בצורה הולמת את חומרת המעשים וכן בקנס שיהיה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 האישיות והמשפחתיות הקשות ולעובדה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כילה את כל הכספים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חרטה על מעשיו והצהיר כי לפשע הוא לא חוזר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חטא בסדרה משמעותית של עבירות קשות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הפירוט של המעשים הבאתי בתחילת גזר דין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מדהים היה לקרוא בכתב האישום אודות ההתנהלות של 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בלא קושי רציני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בלשון המעטה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הצליחו להוציא מבסיס צבאי כמות כה גדולה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כלי ירייה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הקלות שבה עלה הדבר בידיהם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בלתי נסבלת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בכדי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זכו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החיילים המעורבים בפשע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בענישה מחמירה ומשמעותית בשל מה שעוללו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תמורת בצע כסף ואת הסיכונים שיצרו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רק בהוצאת נשק זה מרשות הצבא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במכירתו לגורמים זרים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וגורמים  אלה 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בוודאי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גורמים פליליים ואפשר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מה שגרוע בהרבה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כי הם עברייני 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נשק מוחזק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בידי מאן דהוא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עלול לזלוג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בקלות יתירה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בתחום הפלילי ובין אם בתחום הביטחוני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דיבר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זמיר ב</w:t>
      </w:r>
      <w:r>
        <w:rPr>
          <w:rFonts w:cs="Arial" w:ascii="Arial" w:hAnsi="Arial"/>
          <w:rtl w:val="true"/>
        </w:rPr>
        <w:t>-</w:t>
      </w:r>
      <w:hyperlink r:id="rId4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4609/98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טאהא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מדינל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716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העבירות של סחר בנשק הן עבירות חמורות מאד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הנשק הנסחר עלול לעבור מיד ליד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הוא אינו נרכש באופן חוקי וחזקה היא שהוא לא נועד לשמש מטרה חוקית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כשהוא נמצא בידי אדם שאינו עבריין או מחבל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טמונה בו סכנת חיים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קל וחומר אם הוא מתגלגל ומגיע לידי עבריין או מחבל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ועלינו לקחת בחשבון אפשרות כזאת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להרתיע מפניה ולמנוע את הסכנה הצפוייה מן הנשק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ובאשר לרמת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זו הנוגעת לנשק התקפי שנגנב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, 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4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1332/04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פס ואחרים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פד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534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נדגיש כי בכל הנוגע לרמת הענישה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הגיעה העת לתת משקל לחומרת העבירות של החזקת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ובייחוד נשק התקפי שנגנב מצה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מן הראוי שיהיה בעונש כדי להרתיע מנפיצות התופעה העבריינית של החזקת נשק חם מסוגים שונים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נשיאתו ושימוש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הרי שהמציאות השוררת היום בארץ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מחייבת מתן ביטוי עונש הולם והחמרה ברמת הענישה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אם אכן נהגו בתי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בסלחנות עד כה בעבירות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ניתן לומר כי לא הרימו תרומה מספקת לעקירת התופעה של החזקת או נשיאה של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שהתפשטה במקומותינו והתדרדרה לשימוש בו בידי גורמים המסכנים את שלומו של הציבור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והוסיפה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543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גם על סוג הנשק והסיכון הטמון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כשיקול לעניין העונש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נאמר לא אחת בפסיקתנו כי מידת העונש המוטל בגין עבירות המבוצעות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מושפעת מפוטנציאל הסיכון הרב הטמון בנשק המוחזק שלא כדין 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 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ייתן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דעתו על סוג הנשק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התכלית שלשמה הוא מוחזק ועל הסכנה המוחשית שיעשה בו שימוש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ראה גם האמור ב</w:t>
      </w:r>
      <w:r>
        <w:rPr>
          <w:rFonts w:cs="Arial" w:ascii="Arial" w:hAnsi="Arial"/>
          <w:rtl w:val="true"/>
        </w:rPr>
        <w:t>-</w:t>
      </w:r>
      <w:hyperlink r:id="rId4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3300/06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סנינה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2494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 וב</w:t>
      </w:r>
      <w:r>
        <w:rPr>
          <w:rFonts w:cs="Arial" w:ascii="Arial" w:hAnsi="Arial"/>
          <w:rtl w:val="true"/>
        </w:rPr>
        <w:t>-</w:t>
      </w:r>
      <w:hyperlink r:id="rId43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דאחל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3401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לוי הדגיש את הצורך בהחמרה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מחמת הסיכונים הכרוכים 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4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3072/07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ואכד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</w:rPr>
        <w:t>2671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אין צורך לשוב ולהדגיש כי הסכנה הכרוכה בעבירות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ונזכיר רק כי השימוש בכלי נשק המוחזקים שלא כחוק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הפך לעניין שבשגרה בביצוען של עבירות או לפגיעה בעבריינים יריבים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את מחירם של מעשים אלה שילמו לא אחת בחייהם אזרחים תמימים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מצווים אנו להחמיר בעניינם של נאשמים החוטאים בתחום זה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מדיניות ענישה זו דיבר גם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רובינשטיין ב</w:t>
      </w:r>
      <w:r>
        <w:rPr>
          <w:rFonts w:cs="Arial" w:ascii="Arial" w:hAnsi="Arial"/>
          <w:rtl w:val="true"/>
        </w:rPr>
        <w:t>-</w:t>
      </w:r>
      <w:hyperlink r:id="rId4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3361/08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ליבוביץ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2211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לעבירות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שבתוך עמו הוא יושב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 פעמים אין ספור על היחס המחמיר שיש לנקוט כלפיהן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הדברים ברורים כשמש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המחזיקים בנשק בעבירה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רוב ובכלל אינם עושים זאת אלא לצרכי עבירות אחרות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הכרוכות באלימות או בהפחדה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נועד לירות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וטבעו גם שבשעת 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צורך הסובייקטיבי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זדוני ומרושע ככל שיהיה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עלולה האצבע להיות קלה על ההדק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צריך להיות ספק כלשהו בדבר עונשו הראוי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כל הנסיבות הענייניות החמורות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עליהן עמדתי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הכמות הגדולה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הנשק הגנוב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לא נתפס עד עצם היום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עונשו להיגזר לשנות מאסר בפועל ארוכות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המידה המדוייקת של ענישתו צריכה להתבסס גם על השוואה עם העונשים שנגזרו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צפויים להיגזר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יתר הקושרים ועל בסיס הנסיבות האישיות הראויות להילקח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זעומה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לומר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ניסה להמעיט ממרכזיותו של הנאשם בפעילות הפלילית הכוללת בעניין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כך היא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חלק מרכזי בקשירת הקשר הראשונה והבסיסית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מבסיס האחסנה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עצמו שיתף את האחרים לצורך קבלת כלי הנשק שיוצאו מן הבסיס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להובלתם למקום מחבוא ולמציאת קונים בעבורם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אלה ובהשוואה לחלקם של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החיילים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מצוי במדרג גבוה משמעותית מאלה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אילו בכך סיימנו את הדיון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היה לעונש המתקרב לעונש הצפוי לחיילים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אלא שלזכותו הנסיבות הקשורות בחשיפת הפרשה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מתברר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שאויים על ידי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בהקשר כלי נשק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למשטרה וחשף בפניה את העניין כולו ואת המעורבים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אז לא רק שהמשטרה לא ידעה דבר אודות הפעילות הפלילית הזו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שגם רשויות הצבא לא ידעו אודותיה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במאמר מוסגר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מניח אני שהרשויות הצבאיות הנוגעות בדבר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הפיקו את הלקחים הענייניים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הכרוכים בפרשייה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מה שנוגע לבקרה ופיקוח על נשקיות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 הנשק המוחסנים בהן ועל הנשקים והחיילים האחרים הנוטלים חלק בהחזקת הנשק בבסיס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בשמירה עליו ובאבטחתו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למה שנוגע לרצונו של הנאשם לשמש עד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שקשה לבוא בטרוניה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לגורמי החקירה שטיפלו בתיק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אינני רואה פגם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סירבו לרצונו זה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מסיבות ענייניות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הוא מבין העבריינים המרכזיים בפרשייה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רצוי 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יהא מיוצג באמצעות עורך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במגעים האלה עם גורמי החקירה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סירב לקבל ייצוג כזה ואם הוא מלין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אלא להלין על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חשיפת הפרשייה כולה ושיתוף הפעולה המלא שלו עם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ראויים להילקח בחשבון לקולת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שאמרתי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ויילקחו כך בחשבון על 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אינני מקבל את גישת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על כך שבנסיבות הכוללות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עתירת המאשימה לעונש העולה על העונש הצפוי למעורבים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בלתי ראויה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הענישה המוסכמת כנגד שניים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עומדת על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כבן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וחצי בשעת הביצוע וללא עבר פלילי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אזכיר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מכתב האישום בעניינם נמחקה עבירת הסחר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שלא נעשה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מרכזיותו של הנאשם בפעילות הפלילית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כנזכר כבר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בצורה משמעותית על חלקם של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לנאשם עבר פלילי הכולל 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התלוי ועומד כנגדו והתביעה ביקשה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יופעל בחופף לעונש 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היא מציעה כעונש ראוי עבור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אתחשב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שאיננה מכרעת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בהיותו של הנאשם צעיר לימים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קצת פחות מגיל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בשעת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מורכבות ובעייתיות בהקשרים המשפחתיים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 בתסקירי שירות המבחן וכן בהתרשמות שירות המבחן מכך שהנאשם בעל רצון כן לפתוח דף חדש ולהתנתק לחלוטין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מעולם הפשע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הנה כי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שלקחה בחשבון את הנסיבות האלה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איננה מופרזת ואיננה מחמירה עם הנאשם באופן מיוחד ומעבר לנדרש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החלטתי לגזור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קל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מסויימת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זה מפאת רצוני להדגיש יותר את העובדה שלזכות הנאשם עומדת חשיפת הפרשייה כולה והפללת המעורבים האחרים ולרבות הסיכונים הכרוכים בכך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בסיס הנימוקים שמניתי לעיל ומתוך הקניית המשקל הראוי בעיניי לכל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</w:rPr>
        <w:t>17.10.10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עליה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נשק כלשהי או עבירת רכוש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4.9.2011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בבצעו את המעשים נשוא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הפר הנאשם את התנאי הכרוך בעונש של 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שנגזרו עליו ביום </w:t>
      </w:r>
      <w:r>
        <w:rPr>
          <w:rFonts w:cs="Arial" w:ascii="Arial" w:hAnsi="Arial"/>
        </w:rPr>
        <w:t>7.10.2008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1112/08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משפט השלום לנוער בנתניה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אני מורה להפעיל מאסר מותנה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מכוח המוצע על ידי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יישא הנאשם בעונש מאסר מופעל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בחופף לעונש המאסר שהטלתי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שעליו לשאת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בסך הכל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בעונש מאסר בפועל בן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מיום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כנזכר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#4#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21388-11-10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 הנא גרבאן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289620" TargetMode="External"/><Relationship Id="rId3" Type="http://schemas.openxmlformats.org/officeDocument/2006/relationships/hyperlink" Target="http://www.nevo.co.il/case/5289620" TargetMode="External"/><Relationship Id="rId4" Type="http://schemas.openxmlformats.org/officeDocument/2006/relationships/hyperlink" Target="http://www.nevo.co.il/case/5289620" TargetMode="External"/><Relationship Id="rId5" Type="http://schemas.openxmlformats.org/officeDocument/2006/relationships/hyperlink" Target="http://www.nevo.co.il/case/5289620" TargetMode="External"/><Relationship Id="rId6" Type="http://schemas.openxmlformats.org/officeDocument/2006/relationships/hyperlink" Target="http://www.nevo.co.il/case/5289620" TargetMode="External"/><Relationship Id="rId7" Type="http://schemas.openxmlformats.org/officeDocument/2006/relationships/hyperlink" Target="http://www.nevo.co.il/case/5289620" TargetMode="External"/><Relationship Id="rId8" Type="http://schemas.openxmlformats.org/officeDocument/2006/relationships/hyperlink" Target="http://www.nevo.co.il/case/5289620" TargetMode="External"/><Relationship Id="rId9" Type="http://schemas.openxmlformats.org/officeDocument/2006/relationships/hyperlink" Target="http://www.nevo.co.il/case/5289620" TargetMode="External"/><Relationship Id="rId10" Type="http://schemas.openxmlformats.org/officeDocument/2006/relationships/hyperlink" Target="http://www.nevo.co.il/case/5289620" TargetMode="External"/><Relationship Id="rId11" Type="http://schemas.openxmlformats.org/officeDocument/2006/relationships/hyperlink" Target="http://www.nevo.co.il/case/5289620" TargetMode="External"/><Relationship Id="rId12" Type="http://schemas.openxmlformats.org/officeDocument/2006/relationships/hyperlink" Target="http://www.nevo.co.il/case/5289620" TargetMode="External"/><Relationship Id="rId13" Type="http://schemas.openxmlformats.org/officeDocument/2006/relationships/hyperlink" Target="http://www.nevo.co.il/case/5289620" TargetMode="External"/><Relationship Id="rId14" Type="http://schemas.openxmlformats.org/officeDocument/2006/relationships/hyperlink" Target="http://www.nevo.co.il/case/5598420" TargetMode="External"/><Relationship Id="rId15" Type="http://schemas.openxmlformats.org/officeDocument/2006/relationships/hyperlink" Target="http://www.nevo.co.il/case/5289620" TargetMode="External"/><Relationship Id="rId16" Type="http://schemas.openxmlformats.org/officeDocument/2006/relationships/hyperlink" Target="http://www.nevo.co.il/case/5289620" TargetMode="External"/><Relationship Id="rId17" Type="http://schemas.openxmlformats.org/officeDocument/2006/relationships/hyperlink" Target="http://www.nevo.co.il/case/5289620" TargetMode="External"/><Relationship Id="rId18" Type="http://schemas.openxmlformats.org/officeDocument/2006/relationships/hyperlink" Target="http://www.nevo.co.il/case/5289620" TargetMode="External"/><Relationship Id="rId19" Type="http://schemas.openxmlformats.org/officeDocument/2006/relationships/hyperlink" Target="http://www.nevo.co.il/case/5289620" TargetMode="External"/><Relationship Id="rId20" Type="http://schemas.openxmlformats.org/officeDocument/2006/relationships/hyperlink" Target="http://www.nevo.co.il/case/5289620" TargetMode="External"/><Relationship Id="rId21" Type="http://schemas.openxmlformats.org/officeDocument/2006/relationships/hyperlink" Target="http://www.nevo.co.il/case/5289620" TargetMode="External"/><Relationship Id="rId22" Type="http://schemas.openxmlformats.org/officeDocument/2006/relationships/hyperlink" Target="http://www.nevo.co.il/case/5289620" TargetMode="External"/><Relationship Id="rId23" Type="http://schemas.openxmlformats.org/officeDocument/2006/relationships/hyperlink" Target="http://www.nevo.co.il/case/5289620" TargetMode="External"/><Relationship Id="rId24" Type="http://schemas.openxmlformats.org/officeDocument/2006/relationships/hyperlink" Target="http://www.nevo.co.il/case/5289620" TargetMode="External"/><Relationship Id="rId25" Type="http://schemas.openxmlformats.org/officeDocument/2006/relationships/hyperlink" Target="http://www.nevo.co.il/case/5289620" TargetMode="External"/><Relationship Id="rId26" Type="http://schemas.openxmlformats.org/officeDocument/2006/relationships/hyperlink" Target="http://www.nevo.co.il/case/5289620" TargetMode="External"/><Relationship Id="rId27" Type="http://schemas.openxmlformats.org/officeDocument/2006/relationships/hyperlink" Target="http://www.nevo.co.il/case/5598420" TargetMode="External"/><Relationship Id="rId28" Type="http://schemas.openxmlformats.org/officeDocument/2006/relationships/hyperlink" Target="http://www.nevo.co.il/case/5598420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/144.b2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/499.a.1" TargetMode="External"/><Relationship Id="rId40" Type="http://schemas.openxmlformats.org/officeDocument/2006/relationships/hyperlink" Target="http://www.nevo.co.il/case/5707014" TargetMode="External"/><Relationship Id="rId41" Type="http://schemas.openxmlformats.org/officeDocument/2006/relationships/hyperlink" Target="http://www.nevo.co.il/case/5762686" TargetMode="External"/><Relationship Id="rId42" Type="http://schemas.openxmlformats.org/officeDocument/2006/relationships/hyperlink" Target="http://www.nevo.co.il/case/5887664" TargetMode="External"/><Relationship Id="rId43" Type="http://schemas.openxmlformats.org/officeDocument/2006/relationships/hyperlink" Target="http://www.nevo.co.il/case/5852404" TargetMode="External"/><Relationship Id="rId44" Type="http://schemas.openxmlformats.org/officeDocument/2006/relationships/hyperlink" Target="http://www.nevo.co.il/case/5873817" TargetMode="External"/><Relationship Id="rId45" Type="http://schemas.openxmlformats.org/officeDocument/2006/relationships/hyperlink" Target="http://www.nevo.co.il/case/5891605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2016-05-10T15:07:00Z</dcterms:created>
  <dc:creator> </dc:creator>
  <dc:description/>
  <cp:keywords/>
  <dc:language>en-IL</dc:language>
  <cp:lastModifiedBy>yafit</cp:lastModifiedBy>
  <dcterms:modified xsi:type="dcterms:W3CDTF">2016-05-10T15:07:00Z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הנא גרבאן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5289620:24;5598420:3;5707014;5762686;5887664;5852404;5873817;5891605</vt:lpwstr>
  </property>
  <property fmtid="{D5CDD505-2E9C-101B-9397-08002B2CF9AE}" pid="9" name="CITY">
    <vt:lpwstr>מרכז</vt:lpwstr>
  </property>
  <property fmtid="{D5CDD505-2E9C-101B-9397-08002B2CF9AE}" pid="10" name="DATE">
    <vt:lpwstr>20110721</vt:lpwstr>
  </property>
  <property fmtid="{D5CDD505-2E9C-101B-9397-08002B2CF9AE}" pid="11" name="DELEMATA">
    <vt:lpwstr>http://elyon2.court.gov.il/scripts9/mgrqispi93.dll?Appname=eScourt&amp;Prgname=GetFileDetails&amp;Arguments=-N2011-006941-0</vt:lpwstr>
  </property>
  <property fmtid="{D5CDD505-2E9C-101B-9397-08002B2CF9AE}" pid="12" name="ISABSTRACT">
    <vt:lpwstr>Y</vt:lpwstr>
  </property>
  <property fmtid="{D5CDD505-2E9C-101B-9397-08002B2CF9AE}" pid="13" name="JUDGE">
    <vt:lpwstr>זכריה כספי</vt:lpwstr>
  </property>
  <property fmtid="{D5CDD505-2E9C-101B-9397-08002B2CF9AE}" pid="14" name="LAWLISTTMP1">
    <vt:lpwstr>70301/144.b2;029:2;144.b;499.a.1</vt:lpwstr>
  </property>
  <property fmtid="{D5CDD505-2E9C-101B-9397-08002B2CF9AE}" pid="15" name="LAWYER">
    <vt:lpwstr>רועי פרי;רן עמר</vt:lpwstr>
  </property>
  <property fmtid="{D5CDD505-2E9C-101B-9397-08002B2CF9AE}" pid="16" name="LINKK1">
    <vt:lpwstr>http://www.nevo.co.il/Psika_word/mechozi/ME-10-11-21388-890.doc;להחלטה במחוזי (11-11-2010)#תפ 21388-11-10 מדינת ישראל נ' עבד הנא גרבאן (עציר)#שופטים: לפני מיכל ברנט#עו''ד: פרי, רן עמר</vt:lpwstr>
  </property>
  <property fmtid="{D5CDD505-2E9C-101B-9397-08002B2CF9AE}" pid="17" name="LINKK10">
    <vt:lpwstr>http://www.nevo.co.il/Psika_word/mechozi/ME-10-11-21388-271.doc;להחלטה במחוזי (06-06-2011)#תפ 21388-11-10 מדינת ישראל נ' עבד הנא גרבאן#שופטים: זכריה כספי#עו''ד: רועי פרי, רן עמר</vt:lpwstr>
  </property>
  <property fmtid="{D5CDD505-2E9C-101B-9397-08002B2CF9AE}" pid="18" name="LINKK11">
    <vt:lpwstr>http://www.nevo.co.il/Psika_word/mechozi/ME-10-11-21388-187.doc;להחלטה במחוזי (17-07-2011)#תפ 21388-11-10 מדינת ישראל נ' עבד הנא גרבאן#שופטים: זכריה כספי#עו''ד: רועי פרי, רן עמר</vt:lpwstr>
  </property>
  <property fmtid="{D5CDD505-2E9C-101B-9397-08002B2CF9AE}" pid="19" name="LINKK12">
    <vt:lpwstr>http://www.nevo.co.il/Psika_word/mechozi/ME-10-11-21388-823.doc;להחלטה במחוזי (21-07-2011)#תפ 21388-11-10 עבד הנא גרבאן נ' מדינת ישראל#שופטים: זכריה כספי#עו''ד: רועי פרי, רן עמר</vt:lpwstr>
  </property>
  <property fmtid="{D5CDD505-2E9C-101B-9397-08002B2CF9AE}" pid="20" name="LINKK2">
    <vt:lpwstr>http://www.nevo.co.il/Psika_word/mechozi/ME-10-11-21388-137.doc;להחלטה במחוזי (29-11-2010)#תפ 21388-11-10 מדינת ישראל נ' עבד הנא גרבאן (עציר)#שופטים: זכריה כספי#עו''ד: רן עמר</vt:lpwstr>
  </property>
  <property fmtid="{D5CDD505-2E9C-101B-9397-08002B2CF9AE}" pid="21" name="LINKK3">
    <vt:lpwstr>http://www.nevo.co.il/Psika_word/mechozi/ME-10-11-21388-916.doc;להחלטה במחוזי (29-11-2010)#תפ 21388-11-10 מדינת ישראל נ' עבד הנא גרבאן (עציר)#שופטים: לפני זכריה כספי#עו''ד: – אין התייצבות (מחמת שביתת פרקליטים), – אין התייצבות ל, רן עמר</vt:lpwstr>
  </property>
  <property fmtid="{D5CDD505-2E9C-101B-9397-08002B2CF9AE}" pid="22" name="LINKK4">
    <vt:lpwstr>http://www.nevo.co.il/Psika_word/mechozi/ME-10-11-21388-916-1.doc;להחלטה במחוזי (27-12-2010)#תפ 21388-11-10 מדינת ישראל נ' עבד הנא גרבאן (עציר)#שופטים: זכריה כספי#עו''ד: – אין התייצבות (מחמת שביתת הפרקליטים), רן עמר</vt:lpwstr>
  </property>
  <property fmtid="{D5CDD505-2E9C-101B-9397-08002B2CF9AE}" pid="23" name="LINKK5">
    <vt:lpwstr>http://www.nevo.co.il/Psika_word/mechozi/ME-10-11-21388-894.doc;להחלטה במחוזי (30-01-2011)#תפ 21388-11-10 מדינת ישראל נ' עבד הנא גרבאן (עציר)#שופטים: ורדה מרוז#עו''ד: פרי, רן עמר</vt:lpwstr>
  </property>
  <property fmtid="{D5CDD505-2E9C-101B-9397-08002B2CF9AE}" pid="24" name="LINKK6">
    <vt:lpwstr>http://www.nevo.co.il/Psika_word/mechozi/ME-10-11-21388-845.doc;להחלטה במחוזי (03-03-2011)#תפ 21388-11-10 מדינת ישראל נ' הנא גרבאן#שופטים: ורדה מרוז#עו''ד: רן עמר</vt:lpwstr>
  </property>
  <property fmtid="{D5CDD505-2E9C-101B-9397-08002B2CF9AE}" pid="25" name="LINKK7">
    <vt:lpwstr>http://www.nevo.co.il/Psika_word/mechozi/ME-10-11-21388-75.doc;להחלטה במחוזי (14-03-2011)#תפ 21388-11-10 מדינת ישראל נ' עבד הנא גרבאן#שופטים: זכריה כספי#עו''ד: רועי פרי, רן עמר</vt:lpwstr>
  </property>
  <property fmtid="{D5CDD505-2E9C-101B-9397-08002B2CF9AE}" pid="26" name="LINKK8">
    <vt:lpwstr>http://www.nevo.co.il/Psika_word/mechozi/ME-10-11-21388-933.doc;להחלטה במחוזי (28-03-2011)#תפ 21388-11-10 מדינת ישראל נ' עבד הנא גרבאן#שופטים: ורדה מרוז#עו''ד: אלון טנקג'י, רן עמר</vt:lpwstr>
  </property>
  <property fmtid="{D5CDD505-2E9C-101B-9397-08002B2CF9AE}" pid="27" name="LINKK9">
    <vt:lpwstr>http://www.nevo.co.il/Psika_word/mechozi/ME-10-11-21388-429.doc;להכרעת-דין במחוזי (27-04-2011)#תפ 21388-11-10 מדינת ישראל נ' עבד הנא גרבאן#שופטים: זכריה כספי#עו''ד: רועי פרי, רן עמר</vt:lpwstr>
  </property>
  <property fmtid="{D5CDD505-2E9C-101B-9397-08002B2CF9AE}" pid="28" name="NEWPARTA">
    <vt:lpwstr>21388</vt:lpwstr>
  </property>
  <property fmtid="{D5CDD505-2E9C-101B-9397-08002B2CF9AE}" pid="29" name="NEWPARTB">
    <vt:lpwstr>11</vt:lpwstr>
  </property>
  <property fmtid="{D5CDD505-2E9C-101B-9397-08002B2CF9AE}" pid="30" name="NEWPARTC">
    <vt:lpwstr>10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390020110721</vt:lpwstr>
  </property>
  <property fmtid="{D5CDD505-2E9C-101B-9397-08002B2CF9AE}" pid="41" name="TYPE_N_DATE">
    <vt:lpwstr>39020110721</vt:lpwstr>
  </property>
  <property fmtid="{D5CDD505-2E9C-101B-9397-08002B2CF9AE}" pid="42" name="VOLUME">
    <vt:lpwstr/>
  </property>
  <property fmtid="{D5CDD505-2E9C-101B-9397-08002B2CF9AE}" pid="43" name="WORDNUMPAGES">
    <vt:lpwstr>9</vt:lpwstr>
  </property>
</Properties>
</file>