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2"/>
        <w:gridCol w:w="449"/>
        <w:gridCol w:w="1089"/>
        <w:gridCol w:w="517"/>
        <w:gridCol w:w="5045"/>
      </w:tblGrid>
      <w:tr>
        <w:trPr>
          <w:trHeight w:val="729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ind w:end="0"/>
              <w:jc w:val="start"/>
              <w:rPr>
                <w:vanish/>
                <w:highlight w:val="yellow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vanish/>
                <w:highlight w:val="yellow"/>
                <w:rtl w:val="true"/>
              </w:rPr>
              <w:t>&lt;</w:t>
            </w:r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0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2154-06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תחנת פתח תקוה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ונה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606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תחנת פתח תקוה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אפרים ונה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</w:t>
      </w: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שלוחת תביעות תחנת פתח תקוה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דור לוי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</w:t>
      </w: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אפרים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ונה</w:t>
      </w:r>
      <w:r>
        <w:rPr>
          <w:b w:val="false"/>
          <w:b w:val="false"/>
          <w:bCs w:val="false"/>
          <w:u w:val="none"/>
          <w:rtl w:val="true"/>
        </w:rPr>
        <w:t xml:space="preserve">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דפנה רינסקי</w:t>
      </w:r>
      <w:r>
        <w:rPr>
          <w:vanish/>
          <w:highlight w:val="yellow"/>
          <w:u w:val="none"/>
          <w:rtl w:val="true"/>
        </w:rPr>
        <w:t>&gt;&gt;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 הודה בכתב אישום מתוקן באישום ראשון בעבירה לפי ס</w:t>
      </w:r>
      <w:r>
        <w:rPr>
          <w:rtl w:val="true"/>
        </w:rPr>
        <w:t xml:space="preserve">' </w:t>
      </w:r>
      <w:r>
        <w:rPr/>
        <w:t>379</w:t>
      </w:r>
      <w:r>
        <w:rPr>
          <w:rtl w:val="true"/>
        </w:rPr>
        <w:t xml:space="preserve"> </w:t>
      </w:r>
      <w:r>
        <w:rPr>
          <w:rtl w:val="true"/>
        </w:rPr>
        <w:t>יחד עם ס</w:t>
      </w:r>
      <w:r>
        <w:rPr>
          <w:rtl w:val="true"/>
        </w:rPr>
        <w:t xml:space="preserve">' </w:t>
      </w:r>
      <w:r>
        <w:rPr/>
        <w:t>372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 </w:t>
      </w:r>
      <w:r>
        <w:rPr>
          <w:rtl w:val="true"/>
        </w:rPr>
        <w:t xml:space="preserve">עבירה אשר בוצעה ביום </w:t>
      </w:r>
      <w:r>
        <w:rPr/>
        <w:t>15.9.04</w:t>
      </w:r>
      <w:r>
        <w:rPr>
          <w:rtl w:val="true"/>
        </w:rPr>
        <w:t xml:space="preserve"> </w:t>
      </w:r>
      <w:r>
        <w:rPr>
          <w:rtl w:val="true"/>
        </w:rPr>
        <w:t>כאשר זרק מאוורר לעבר רצפת הבית ושברו</w:t>
      </w:r>
      <w:r>
        <w:rPr>
          <w:rtl w:val="true"/>
        </w:rPr>
        <w:t xml:space="preserve">, </w:t>
      </w:r>
      <w:r>
        <w:rPr>
          <w:rtl w:val="true"/>
        </w:rPr>
        <w:t>ולאחר מכן זרק צרור מפתחות על המתלוננת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 xml:space="preserve">לה נישא בשנת </w:t>
      </w:r>
      <w:r>
        <w:rPr/>
        <w:t>1979</w:t>
      </w:r>
      <w:r>
        <w:rPr>
          <w:rtl w:val="true"/>
        </w:rPr>
        <w:t xml:space="preserve">, </w:t>
      </w:r>
      <w:r>
        <w:rPr>
          <w:rtl w:val="true"/>
        </w:rPr>
        <w:t>צרור אשר פגע בכתפה</w:t>
      </w:r>
      <w:r>
        <w:rPr>
          <w:rtl w:val="true"/>
        </w:rPr>
        <w:t xml:space="preserve">. </w:t>
      </w:r>
      <w:r>
        <w:rPr>
          <w:rtl w:val="true"/>
        </w:rPr>
        <w:t>בעשותו כך תקף שלא כדין את בת זוגו</w:t>
      </w:r>
      <w:r>
        <w:rPr>
          <w:rtl w:val="true"/>
        </w:rPr>
        <w:t>.</w:t>
      </w:r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באישום השני הורשע בעבירות איומים ועל פי במהלך חודש ספטמבר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 xml:space="preserve">איים על המתלוננת </w:t>
      </w:r>
      <w:r>
        <w:rPr>
          <w:rtl w:val="true"/>
        </w:rPr>
        <w:t>–</w:t>
      </w:r>
      <w:r>
        <w:rPr>
          <w:rtl w:val="true"/>
        </w:rPr>
        <w:t xml:space="preserve"> אשתו כי הוא יאשפז אותה ובשבוע השלישי של חודש ספטמבר אמר לה היא קטנה כמו נמלה</w:t>
      </w:r>
      <w:r>
        <w:rPr>
          <w:rtl w:val="true"/>
        </w:rPr>
        <w:t xml:space="preserve">, </w:t>
      </w:r>
      <w:r>
        <w:rPr>
          <w:rtl w:val="true"/>
        </w:rPr>
        <w:t>כי ירמוס אותה ואלו 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מתן גזר הדין נדחה מעת לעת כדי לקבל תסקיר של שירות המבחן ובסופו של דבר תסקיר שהתקבל ליום </w:t>
      </w:r>
      <w:r>
        <w:rPr/>
        <w:t>25.11.08</w:t>
      </w:r>
      <w:r>
        <w:rPr>
          <w:rtl w:val="true"/>
        </w:rPr>
        <w:t xml:space="preserve"> </w:t>
      </w:r>
      <w:r>
        <w:rPr>
          <w:rtl w:val="true"/>
        </w:rPr>
        <w:t>לא כלל המלצה לביטול הרשעה בהעדר כל נסיבה המצדיקה חריגה מן הכללים</w:t>
      </w:r>
      <w:r>
        <w:rPr>
          <w:rtl w:val="true"/>
        </w:rPr>
        <w:t xml:space="preserve">, </w:t>
      </w:r>
      <w:r>
        <w:rPr>
          <w:rtl w:val="true"/>
        </w:rPr>
        <w:t>אך יחד עם זאת שירות המבחן</w:t>
      </w:r>
      <w:r>
        <w:rPr>
          <w:rtl w:val="true"/>
        </w:rPr>
        <w:t xml:space="preserve">, </w:t>
      </w:r>
      <w:r>
        <w:rPr>
          <w:rtl w:val="true"/>
        </w:rPr>
        <w:t>בזהירות רבה</w:t>
      </w:r>
      <w:r>
        <w:rPr>
          <w:rtl w:val="true"/>
        </w:rPr>
        <w:t xml:space="preserve">, </w:t>
      </w:r>
      <w:r>
        <w:rPr>
          <w:rtl w:val="true"/>
        </w:rPr>
        <w:t>המליץ כי אם בית המשפט יחליט ל המנע מהרשעה ולאור העובדה כי צו מבחן אינו מתאים במקרה זה</w:t>
      </w:r>
      <w:r>
        <w:rPr>
          <w:rtl w:val="true"/>
        </w:rPr>
        <w:t xml:space="preserve">, </w:t>
      </w:r>
      <w:r>
        <w:rPr>
          <w:rtl w:val="true"/>
        </w:rPr>
        <w:t>מוכן יהיה קצין המבחן לבדוק התאמתו של הנאשם לביצוע צו של</w:t>
      </w:r>
      <w:r>
        <w:rPr>
          <w:rtl w:val="true"/>
        </w:rPr>
        <w:t>"</w:t>
      </w:r>
      <w:r>
        <w:rPr>
          <w:rtl w:val="true"/>
        </w:rPr>
        <w:t>צ כאלטרנטיבה לאי 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 אותו תסקיר חזרו הצדדים לעתור להטלת מאסר מותנה ולסיומו של תיק זה בדרך הענישה 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שקלתי הנסיבות כולן</w:t>
      </w:r>
      <w:r>
        <w:rPr>
          <w:rtl w:val="true"/>
        </w:rPr>
        <w:t xml:space="preserve">, </w:t>
      </w:r>
      <w:r>
        <w:rPr>
          <w:rtl w:val="true"/>
        </w:rPr>
        <w:t>חלוף הזמן מאז שבוצעו העבירות</w:t>
      </w:r>
      <w:r>
        <w:rPr>
          <w:rtl w:val="true"/>
        </w:rPr>
        <w:t xml:space="preserve">, </w:t>
      </w:r>
      <w:r>
        <w:rPr>
          <w:rtl w:val="true"/>
        </w:rPr>
        <w:t>טיב מעשי העבירה</w:t>
      </w:r>
      <w:r>
        <w:rPr>
          <w:rtl w:val="true"/>
        </w:rPr>
        <w:t xml:space="preserve">, </w:t>
      </w:r>
      <w:r>
        <w:rPr>
          <w:rtl w:val="true"/>
        </w:rPr>
        <w:t>מידת החומרה שאינה גבוהה במיוחד</w:t>
      </w:r>
      <w:r>
        <w:rPr>
          <w:rtl w:val="true"/>
        </w:rPr>
        <w:t xml:space="preserve">, </w:t>
      </w:r>
      <w:r>
        <w:rPr>
          <w:rtl w:val="true"/>
        </w:rPr>
        <w:t xml:space="preserve">נסיבותיו האישיות של הנאשם כפי שהביען בפני ביום </w:t>
      </w:r>
      <w:r>
        <w:rPr/>
        <w:t>9.9.08</w:t>
      </w:r>
      <w:r>
        <w:rPr>
          <w:rtl w:val="true"/>
        </w:rPr>
        <w:t xml:space="preserve"> </w:t>
      </w:r>
      <w:r>
        <w:rPr>
          <w:rtl w:val="true"/>
        </w:rPr>
        <w:t xml:space="preserve">ובסופו של דבר מוצאת אני להטיל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אותם לא ישא אלא אם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יחזור על העבירות בהן 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בעונש זה גם לקחתי בחשבון את ההודייה</w:t>
      </w:r>
      <w:r>
        <w:rPr>
          <w:rtl w:val="true"/>
        </w:rPr>
        <w:t xml:space="preserve">, </w:t>
      </w:r>
      <w:r>
        <w:rPr>
          <w:rtl w:val="true"/>
        </w:rPr>
        <w:t>את החסכון בזמן השיפוטי ואת העובדה שזו הרשעתו הראשונה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לביהמ</w:t>
      </w:r>
      <w:r>
        <w:rPr>
          <w:rtl w:val="true"/>
        </w:rPr>
        <w:t>"</w:t>
      </w:r>
      <w:r>
        <w:rPr>
          <w:rtl w:val="true"/>
        </w:rPr>
        <w:t>ש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ג</w:t>
            </w:r>
            <w:r>
              <w:rPr>
                <w:rFonts w:eastAsia="David" w:cs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כסלו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ט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30/11/2008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 </w:t>
            </w:r>
            <w:r>
              <w:rPr>
                <w:rFonts w:cs="FrankRuehl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לולה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סטוקלוב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/Users/liorb/Downloads/study2025-p2/SH-06-2154.doc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2154-06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שלוחת תביעות תחנת פתח תקוה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אפרים ונה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154-06"/>
    <w:docVar w:name="caseId" w:val="7238454"/>
    <w:docVar w:name="deriveClass" w:val="NGCS.Protocol.BL.Client.ProtocolBLClientCriminal"/>
    <w:docVar w:name="firstPageNumber" w:val="1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177145"/>
    <w:docVar w:name="releaseSign" w:val="0"/>
    <w:docVar w:name="sittingDateTime" w:val="30/11/2008 8:30 AM   "/>
    <w:docVar w:name="sittingId" w:val="7471202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2008-12-07T14:22:00Z</dcterms:created>
  <dc:creator> </dc:creator>
  <dc:description/>
  <cp:keywords/>
  <dc:language>en-IL</dc:language>
  <cp:lastModifiedBy>moshe</cp:lastModifiedBy>
  <cp:lastPrinted>2008-11-30T15:16:00Z</cp:lastPrinted>
  <dcterms:modified xsi:type="dcterms:W3CDTF">2008-12-08T09:09:00Z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תחנת פתח תקוה</vt:lpwstr>
  </property>
  <property fmtid="{D5CDD505-2E9C-101B-9397-08002B2CF9AE}" pid="3" name="APPELLEE">
    <vt:lpwstr>אפרים ונה</vt:lpwstr>
  </property>
  <property fmtid="{D5CDD505-2E9C-101B-9397-08002B2CF9AE}" pid="4" name="CITY">
    <vt:lpwstr>פ"ת</vt:lpwstr>
  </property>
  <property fmtid="{D5CDD505-2E9C-101B-9397-08002B2CF9AE}" pid="5" name="DATE">
    <vt:lpwstr>20081130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ליה לבאון</vt:lpwstr>
  </property>
  <property fmtid="{D5CDD505-2E9C-101B-9397-08002B2CF9AE}" pid="9" name="LAWYER">
    <vt:lpwstr>דור לוי;דפנה רינסקי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2154</vt:lpwstr>
  </property>
  <property fmtid="{D5CDD505-2E9C-101B-9397-08002B2CF9AE}" pid="23" name="NEWPARTB">
    <vt:lpwstr/>
  </property>
  <property fmtid="{D5CDD505-2E9C-101B-9397-08002B2CF9AE}" pid="24" name="NEWPARTC">
    <vt:lpwstr>06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2154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380020081130</vt:lpwstr>
  </property>
  <property fmtid="{D5CDD505-2E9C-101B-9397-08002B2CF9AE}" pid="35" name="TYPE_N_DATE">
    <vt:lpwstr>38020081130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