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2181-09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רודריג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Style13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הדסה נאור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Style13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ציון רודריג</w:t>
            </w:r>
          </w:p>
        </w:tc>
      </w:tr>
    </w:tbl>
    <w:p>
      <w:pPr>
        <w:pStyle w:val="Style13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קריתי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זמיר עזריה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על יסוד הודאת הנאשם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אני מרשיעה אותו בעבירה של החזקת מקום להימורים או הגרלות על פי סעיף </w:t>
      </w:r>
      <w:r>
        <w:rPr>
          <w:rFonts w:cs="David" w:ascii="David" w:hAnsi="David"/>
        </w:rPr>
        <w:t>228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Style13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הדסה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Style13"/>
        <w:ind w:end="0"/>
        <w:jc w:val="center"/>
        <w:rPr>
          <w:szCs w:val="24"/>
        </w:rPr>
      </w:pPr>
      <w:r>
        <w:rPr>
          <w:szCs w:val="24"/>
          <w:rtl w:val="true"/>
        </w:rPr>
      </w:r>
    </w:p>
    <w:p>
      <w:pPr>
        <w:pStyle w:val="Style13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Style13"/>
        <w:ind w:end="0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  <w:rtl w:val="true"/>
        </w:rPr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 xml:space="preserve">נדחה לקבלת תסקיר לתאריך </w:t>
      </w:r>
      <w:r>
        <w:rPr/>
        <w:t>24.11.10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08:30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sz w:val="44"/>
          <w:szCs w:val="42"/>
          <w:u w:val="single"/>
        </w:rPr>
      </w:pPr>
      <w:r>
        <w:rPr>
          <w:b/>
          <w:bCs/>
          <w:sz w:val="44"/>
          <w:szCs w:val="42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sz w:val="44"/>
          <w:szCs w:val="42"/>
          <w:u w:val="single"/>
        </w:rPr>
      </w:pPr>
      <w:r>
        <w:rPr>
          <w:b/>
          <w:b/>
          <w:bCs/>
          <w:sz w:val="44"/>
          <w:sz w:val="44"/>
          <w:szCs w:val="42"/>
          <w:u w:val="single"/>
          <w:rtl w:val="true"/>
        </w:rPr>
        <w:t>המזכירות תעביר עותק ההחלטה לשירות המבחן</w:t>
      </w:r>
      <w:r>
        <w:rPr>
          <w:b/>
          <w:bCs/>
          <w:sz w:val="44"/>
          <w:szCs w:val="42"/>
          <w:u w:val="single"/>
          <w:rtl w:val="true"/>
        </w:rPr>
        <w:t xml:space="preserve">, </w:t>
      </w:r>
      <w:r>
        <w:rPr>
          <w:b/>
          <w:b/>
          <w:bCs/>
          <w:sz w:val="44"/>
          <w:sz w:val="44"/>
          <w:szCs w:val="42"/>
          <w:u w:val="single"/>
          <w:rtl w:val="true"/>
        </w:rPr>
        <w:t>אשר מתבקש להגיש את תסקיר המבחן</w:t>
      </w:r>
      <w:r>
        <w:rPr>
          <w:b/>
          <w:bCs/>
          <w:sz w:val="44"/>
          <w:szCs w:val="42"/>
          <w:u w:val="single"/>
          <w:rtl w:val="true"/>
        </w:rPr>
        <w:t xml:space="preserve">, </w:t>
      </w:r>
      <w:r>
        <w:rPr>
          <w:b/>
          <w:b/>
          <w:bCs/>
          <w:sz w:val="44"/>
          <w:sz w:val="44"/>
          <w:szCs w:val="42"/>
          <w:u w:val="single"/>
          <w:rtl w:val="true"/>
        </w:rPr>
        <w:t>שיבחן גם את שאלת אי הרשעתו של הנאשם</w:t>
      </w:r>
      <w:r>
        <w:rPr>
          <w:b/>
          <w:bCs/>
          <w:sz w:val="44"/>
          <w:szCs w:val="42"/>
          <w:u w:val="single"/>
          <w:rtl w:val="true"/>
        </w:rPr>
        <w:t xml:space="preserve">,  </w:t>
      </w:r>
      <w:r>
        <w:rPr>
          <w:b/>
          <w:b/>
          <w:bCs/>
          <w:sz w:val="44"/>
          <w:sz w:val="44"/>
          <w:szCs w:val="42"/>
          <w:u w:val="single"/>
          <w:rtl w:val="true"/>
        </w:rPr>
        <w:t>עד למועד הדיון</w:t>
      </w:r>
      <w:r>
        <w:rPr>
          <w:b/>
          <w:bCs/>
          <w:sz w:val="44"/>
          <w:szCs w:val="42"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sz w:val="44"/>
          <w:szCs w:val="42"/>
          <w:u w:val="single"/>
        </w:rPr>
      </w:pPr>
      <w:r>
        <w:rPr>
          <w:b/>
          <w:bCs/>
          <w:sz w:val="44"/>
          <w:szCs w:val="42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אין בהחלטתי זו משום הבעת דעה כלשהי לגבי העונש שיוטל על הנאשם בסופו של ההליך</w:t>
      </w:r>
      <w:r>
        <w:rPr>
          <w:b/>
          <w:bCs/>
          <w:sz w:val="28"/>
          <w:szCs w:val="26"/>
          <w:rtl w:val="true"/>
        </w:rPr>
        <w:t xml:space="preserve">.       </w:t>
      </w:r>
    </w:p>
    <w:p>
      <w:pPr>
        <w:pStyle w:val="Normal"/>
        <w:spacing w:lineRule="auto" w:line="360"/>
        <w:ind w:end="0"/>
        <w:jc w:val="start"/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32"/>
          <w:szCs w:val="30"/>
        </w:rPr>
      </w:pPr>
      <w:r>
        <w:rPr>
          <w:b/>
          <w:b/>
          <w:bCs/>
          <w:sz w:val="32"/>
          <w:sz w:val="32"/>
          <w:szCs w:val="30"/>
          <w:u w:val="single"/>
          <w:rtl w:val="true"/>
        </w:rPr>
        <w:t xml:space="preserve">פרטי הנאשם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>–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 xml:space="preserve"> רחוב פרופ</w:t>
      </w:r>
      <w:r>
        <w:rPr>
          <w:b/>
          <w:bCs/>
          <w:sz w:val="32"/>
          <w:szCs w:val="30"/>
          <w:u w:val="single"/>
          <w:rtl w:val="true"/>
        </w:rPr>
        <w:t xml:space="preserve">'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 xml:space="preserve">שור </w:t>
      </w:r>
      <w:r>
        <w:rPr>
          <w:b/>
          <w:bCs/>
          <w:sz w:val="32"/>
          <w:szCs w:val="30"/>
          <w:u w:val="single"/>
        </w:rPr>
        <w:t>27</w:t>
      </w:r>
      <w:r>
        <w:rPr>
          <w:b/>
          <w:bCs/>
          <w:sz w:val="32"/>
          <w:szCs w:val="30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>תל אביב וטל</w:t>
      </w:r>
      <w:r>
        <w:rPr>
          <w:b/>
          <w:bCs/>
          <w:sz w:val="32"/>
          <w:szCs w:val="30"/>
          <w:u w:val="single"/>
          <w:rtl w:val="true"/>
        </w:rPr>
        <w:t xml:space="preserve">'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 xml:space="preserve">נייד </w:t>
      </w:r>
      <w:r>
        <w:rPr>
          <w:b/>
          <w:bCs/>
          <w:sz w:val="32"/>
          <w:szCs w:val="30"/>
          <w:u w:val="single"/>
        </w:rPr>
        <w:t>0522525504</w:t>
      </w:r>
      <w:r>
        <w:rPr>
          <w:b/>
          <w:bCs/>
          <w:sz w:val="32"/>
          <w:szCs w:val="3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32"/>
          <w:szCs w:val="30"/>
          <w:u w:val="single"/>
        </w:rPr>
      </w:pPr>
      <w:r>
        <w:rPr>
          <w:b/>
          <w:b/>
          <w:bCs/>
          <w:sz w:val="32"/>
          <w:sz w:val="32"/>
          <w:szCs w:val="30"/>
          <w:u w:val="single"/>
          <w:rtl w:val="true"/>
        </w:rPr>
        <w:t>הנאשם מוזהר בחובת התייצבותו</w:t>
      </w:r>
      <w:r>
        <w:rPr>
          <w:b/>
          <w:bCs/>
          <w:sz w:val="32"/>
          <w:szCs w:val="30"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  <w:rtl w:val="true"/>
        </w:rPr>
      </w:r>
    </w:p>
    <w:p>
      <w:pPr>
        <w:pStyle w:val="Style13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Style13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הדסה נאור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הדסה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אראל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2181-09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 ציון רודריג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גנון מיושר לשני הצדדים מרווח בין שורות:  שורה וחצי"/>
    <w:basedOn w:val="Normal"/>
    <w:qFormat/>
    <w:pPr>
      <w:spacing w:lineRule="auto" w:line="360"/>
      <w:jc w:val="both"/>
    </w:pPr>
    <w:rPr>
      <w:rFonts w:eastAsia="Times New Roman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2012-02-15T12:43:00Z</dcterms:created>
  <dc:creator> </dc:creator>
  <dc:description/>
  <cp:keywords/>
  <dc:language>en-IL</dc:language>
  <cp:lastModifiedBy>hofit</cp:lastModifiedBy>
  <dcterms:modified xsi:type="dcterms:W3CDTF">2012-02-15T12:43:00Z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ת"א</vt:lpwstr>
  </property>
  <property fmtid="{D5CDD505-2E9C-101B-9397-08002B2CF9AE}" pid="3" name="APPELLEE">
    <vt:lpwstr>בן ציון רודריג</vt:lpwstr>
  </property>
  <property fmtid="{D5CDD505-2E9C-101B-9397-08002B2CF9AE}" pid="4" name="CITY">
    <vt:lpwstr>ת"א</vt:lpwstr>
  </property>
  <property fmtid="{D5CDD505-2E9C-101B-9397-08002B2CF9AE}" pid="5" name="DATE">
    <vt:lpwstr>20100705</vt:lpwstr>
  </property>
  <property fmtid="{D5CDD505-2E9C-101B-9397-08002B2CF9AE}" pid="6" name="JUDGE">
    <vt:lpwstr>הדסה נאור</vt:lpwstr>
  </property>
  <property fmtid="{D5CDD505-2E9C-101B-9397-08002B2CF9AE}" pid="7" name="LAWYER">
    <vt:lpwstr>קריתי;זמיר עזריה</vt:lpwstr>
  </property>
  <property fmtid="{D5CDD505-2E9C-101B-9397-08002B2CF9AE}" pid="8" name="NEWPARTA">
    <vt:lpwstr>2181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2181</vt:lpwstr>
  </property>
  <property fmtid="{D5CDD505-2E9C-101B-9397-08002B2CF9AE}" pid="13" name="PROCYEAR">
    <vt:lpwstr>09</vt:lpwstr>
  </property>
  <property fmtid="{D5CDD505-2E9C-101B-9397-08002B2CF9AE}" pid="14" name="PSAKDIN">
    <vt:lpwstr>הכרעת-דין</vt:lpwstr>
  </property>
  <property fmtid="{D5CDD505-2E9C-101B-9397-08002B2CF9AE}" pid="15" name="TYPE">
    <vt:lpwstr>3</vt:lpwstr>
  </property>
  <property fmtid="{D5CDD505-2E9C-101B-9397-08002B2CF9AE}" pid="16" name="TYPE_ABS_DATE">
    <vt:lpwstr>380020100705</vt:lpwstr>
  </property>
  <property fmtid="{D5CDD505-2E9C-101B-9397-08002B2CF9AE}" pid="17" name="TYPE_N_DATE">
    <vt:lpwstr>38020100705</vt:lpwstr>
  </property>
  <property fmtid="{D5CDD505-2E9C-101B-9397-08002B2CF9AE}" pid="18" name="WORDNUMPAGES">
    <vt:lpwstr>2</vt:lpwstr>
  </property>
</Properties>
</file>