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809"/>
        <w:gridCol w:w="1696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680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21906-07-18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69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1"/>
        <w:gridCol w:w="5529"/>
      </w:tblGrid>
      <w:tr>
        <w:trPr>
          <w:trHeight w:val="29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תמר בר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29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2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29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2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סיאם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שרקאווי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גראב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ראשד עראר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254" w:leader="none"/>
              </w:tabs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  <w:p>
            <w:pPr>
              <w:pStyle w:val="Normal"/>
              <w:tabs>
                <w:tab w:val="clear" w:pos="720"/>
                <w:tab w:val="left" w:pos="254" w:leader="none"/>
              </w:tabs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כוח המאשימה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עמרי כהן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מיכל בלומנטל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 xml:space="preserve">פרקליטות מחוז ירושלים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פלילי</w:t>
            </w:r>
            <w:r>
              <w:rPr>
                <w:rFonts w:cs="Arial" w:ascii="Arial" w:hAnsi="Arial"/>
                <w:rtl w:val="true"/>
              </w:rPr>
              <w:t>)</w:t>
            </w:r>
          </w:p>
          <w:p>
            <w:pPr>
              <w:pStyle w:val="Normal"/>
              <w:tabs>
                <w:tab w:val="clear" w:pos="720"/>
                <w:tab w:val="left" w:pos="254" w:leader="none"/>
              </w:tabs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בא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הנאשם 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עבד גראושה</w:t>
            </w:r>
          </w:p>
          <w:p>
            <w:pPr>
              <w:pStyle w:val="Normal"/>
              <w:tabs>
                <w:tab w:val="clear" w:pos="720"/>
                <w:tab w:val="left" w:pos="254" w:leader="none"/>
              </w:tabs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בא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הנאשם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שמעון כהן</w:t>
            </w:r>
          </w:p>
          <w:p>
            <w:pPr>
              <w:pStyle w:val="Normal"/>
              <w:tabs>
                <w:tab w:val="clear" w:pos="720"/>
                <w:tab w:val="left" w:pos="254" w:leader="none"/>
              </w:tabs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בא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הנאשם 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אמיר נבון</w:t>
            </w:r>
          </w:p>
          <w:p>
            <w:pPr>
              <w:pStyle w:val="Normal"/>
              <w:tabs>
                <w:tab w:val="clear" w:pos="720"/>
                <w:tab w:val="left" w:pos="254" w:leader="none"/>
              </w:tabs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בא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הנאשם 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מוחמד חלאילה</w:t>
            </w:r>
          </w:p>
          <w:p>
            <w:pPr>
              <w:pStyle w:val="Normal"/>
              <w:tabs>
                <w:tab w:val="clear" w:pos="720"/>
                <w:tab w:val="left" w:pos="254" w:leader="none"/>
              </w:tabs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91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8" w:name="PsakDin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גזר </w:t>
      </w:r>
      <w:bookmarkEnd w:id="8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28.5.2019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25.6.2019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נידרש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ארבעת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סיאם</w:t>
      </w:r>
      <w:r>
        <w:rPr>
          <w:rtl w:val="true"/>
        </w:rPr>
        <w:t xml:space="preserve">: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28.5.2019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שרקאווי</w:t>
      </w:r>
      <w:r>
        <w:rPr>
          <w:rtl w:val="true"/>
        </w:rPr>
        <w:t xml:space="preserve">: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26.12.2018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גראב</w:t>
      </w:r>
      <w:r>
        <w:rPr>
          <w:rtl w:val="true"/>
        </w:rPr>
        <w:t xml:space="preserve">: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21.1.2019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ראשד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עראר</w:t>
      </w:r>
      <w:r>
        <w:rPr>
          <w:rtl w:val="true"/>
        </w:rPr>
        <w:t xml:space="preserve">: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9.1.2019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רקע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הסדרי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והערות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כלליות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9.7.2019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שסומנו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12.7.2019</w:t>
      </w:r>
      <w:r>
        <w:rPr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),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נחתמו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19.6.2019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17.2.2019</w:t>
      </w:r>
      <w:r>
        <w:rPr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12.5.2019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tl w:val="true"/>
        </w:rPr>
        <w:t xml:space="preserve">,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סיאם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28.5.2019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u w:val="single"/>
          <w:rtl w:val="true"/>
        </w:rPr>
        <w:t>כלשונו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במקור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חלק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 </w:t>
        <w:tab/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357-17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סוכן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שועפאט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שועפאט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עיסוקו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bul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מודל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Cherokee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BC13209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b/>
          <w:bCs/>
          <w:rtl w:val="true"/>
        </w:rPr>
        <w:t>")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ראשון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 </w:t>
        <w:tab/>
      </w:r>
      <w:r>
        <w:rPr>
          <w:rFonts w:ascii="David" w:hAnsi="David"/>
          <w:rtl w:val="true"/>
        </w:rPr>
        <w:t>כשבוע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24.1.18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24.1.18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לכשיפגשו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ממהר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לתיאום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91.31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2,700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17:25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ענה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בשועפאט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בחינתו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לשאלת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רוצה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ובדק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איתו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29.1.18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29.1.18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29.1.18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לשיחותיו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יאלצו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10.2.18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בשועאפט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שירוקי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נדרשים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רוכש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יארגן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המבוקש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המכונים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בלגים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יסיימו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13.2.18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לקראת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והזכיר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ותיאמו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לשועאפט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20:20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סוס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פרנסה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נקודת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המפגש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20:40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ההמתנה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שהמתינו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bul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Cherokee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בהותירו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הפתוח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באוויר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ונתקל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והחזרתה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שלאחריהן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ספירתו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ועזב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בספירת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מהסוכן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בספירה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יתחשבנו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שני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6.5.18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פגישתם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יומיים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אלף</w:t>
      </w:r>
      <w:r>
        <w:rPr>
          <w:rFonts w:ascii="David" w:hAnsi="David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9.5.18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בשועפאט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בשועפאט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להנחיית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דריכתו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ינסה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ויעדכנו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שלישי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25.6.18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ובמקומות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במדויק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אוסאמה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גולאני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אוסאמה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אוסאמה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אצבעות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טבליות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שאוסאמה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אוסאמה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שנמסרו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1,700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למועד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במדויק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לאוסאמה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בפקודה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המנהל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19.6.2019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פטירתו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נורמאטיבית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, </w:t>
      </w:r>
      <w:r>
        <w:rPr>
          <w:rtl w:val="true"/>
        </w:rPr>
        <w:t>ששניהם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tl w:val="true"/>
        </w:rPr>
        <w:t xml:space="preserve">,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בראנסי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13223/13</w:t>
      </w:r>
      <w:r>
        <w:rPr>
          <w:rtl w:val="true"/>
        </w:rPr>
        <w:t xml:space="preserve"> </w:t>
      </w:r>
      <w:r>
        <w:rPr>
          <w:u w:val="single"/>
          <w:rtl w:val="true"/>
        </w:rPr>
        <w:t>חסן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); </w:t>
      </w:r>
      <w:hyperlink r:id="rId36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5604/11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נאסר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5.10.2011</w:t>
      </w:r>
      <w:r>
        <w:rPr>
          <w:rFonts w:cs="Arimo;Times New Roman" w:ascii="Arimo;Times New Roman" w:hAnsi="Arimo;Times New Roman"/>
          <w:rtl w:val="true"/>
        </w:rPr>
        <w:t xml:space="preserve">); </w:t>
      </w:r>
      <w:hyperlink r:id="rId37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6156/18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שטרית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11.4.2019</w:t>
      </w:r>
      <w:r>
        <w:rPr>
          <w:rFonts w:cs="Arimo;Times New Roman" w:ascii="Arimo;Times New Roman" w:hAnsi="Arimo;Times New Roman"/>
          <w:rtl w:val="true"/>
        </w:rPr>
        <w:t xml:space="preserve">); </w:t>
      </w:r>
      <w:hyperlink r:id="rId38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785/15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פואקה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6.12.2015</w:t>
      </w:r>
      <w:r>
        <w:rPr>
          <w:rFonts w:cs="Arimo;Times New Roman" w:ascii="Arimo;Times New Roman" w:hAnsi="Arimo;Times New Roman"/>
          <w:rtl w:val="true"/>
        </w:rPr>
        <w:t xml:space="preserve">); </w:t>
      </w:r>
      <w:hyperlink r:id="rId39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4154/16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דהוד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19.1.2017</w:t>
      </w:r>
      <w:r>
        <w:rPr>
          <w:rFonts w:cs="Arimo;Times New Roman" w:ascii="Arimo;Times New Roman" w:hAnsi="Arimo;Times New Roman"/>
          <w:rtl w:val="true"/>
        </w:rPr>
        <w:t xml:space="preserve">); </w:t>
      </w:r>
      <w:hyperlink r:id="rId40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21971-07-18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גווילס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17.2.2019</w:t>
      </w:r>
      <w:r>
        <w:rPr>
          <w:rFonts w:cs="Arimo;Times New Roman" w:ascii="Arimo;Times New Roman" w:hAnsi="Arimo;Times New Roman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Times New Roman"/>
          <w:sz w:val="21"/>
          <w:szCs w:val="21"/>
        </w:rPr>
      </w:pPr>
      <w:r>
        <w:rPr>
          <w:rFonts w:cs="Times New Roman" w:ascii="Arimo;Times New Roman" w:hAnsi="Arimo;Times New Roman"/>
          <w:sz w:val="21"/>
          <w:szCs w:val="21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: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שהושלמה</w:t>
      </w:r>
      <w:r>
        <w:rPr>
          <w:rtl w:val="true"/>
        </w:rPr>
        <w:t xml:space="preserve">.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שהושלמה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: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tl w:val="true"/>
        </w:rPr>
        <w:t xml:space="preserve">: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>, '</w:t>
      </w:r>
      <w:r>
        <w:rPr>
          <w:rtl w:val="true"/>
        </w:rPr>
        <w:t>נייס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גאי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MDMA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tl w:val="true"/>
        </w:rPr>
        <w:t xml:space="preserve">,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שועפאט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tl w:val="true"/>
        </w:rPr>
        <w:t xml:space="preserve">,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למוסכם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אלו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tl w:val="true"/>
        </w:rPr>
        <w:t xml:space="preserve">, </w:t>
      </w:r>
      <w:r>
        <w:rPr>
          <w:rtl w:val="true"/>
        </w:rPr>
        <w:t>שלידיו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11-9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החומרה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היתרה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הכרוכה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והסיכון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הנשקף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מביצוען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לציבור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מקבלים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משנה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תוקף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בשים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לב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להיקפיה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התופעה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ואופן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התפשטותה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כמענה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לכך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מסתמנת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בפסיקה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מגמה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עקבית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להחמיר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בגין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באופן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שיהלום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מידת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פגיעתן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בערכים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המוגנים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ויקדם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מיגור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התופעה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 xml:space="preserve">(...). </w:t>
      </w:r>
      <w:r>
        <w:rPr>
          <w:rFonts w:ascii="Arimo;Times New Roman" w:hAnsi="Arimo;Times New Roman" w:cs="Arimo;Times New Roman"/>
          <w:rtl w:val="true"/>
        </w:rPr>
        <w:t>משכך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חרף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עיקרון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האינדיבידואלית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והמשקל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ליתן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לנסיבותיו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האישיות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נאשם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לגופו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בבואו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לגזור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דינו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שהורשע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בביצוע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חמורות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המשפט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לתת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בכורה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לשיקולי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ההרתעה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והאינטרס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הציבורי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 xml:space="preserve">(...). </w:t>
      </w:r>
      <w:r>
        <w:rPr>
          <w:rFonts w:ascii="Arimo;Times New Roman" w:hAnsi="Arimo;Times New Roman" w:cs="Arimo;Times New Roman"/>
          <w:rtl w:val="true"/>
        </w:rPr>
        <w:t>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יודגש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הגם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שעסקאות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מערבות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מטבע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הדברים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גורמים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שונים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שחלקו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משתנה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יש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חשיבות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מוחשית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ואחת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מהחוליות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בשרשרת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הסחר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מאותן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חוליות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'</w:t>
      </w:r>
      <w:r>
        <w:rPr>
          <w:rFonts w:ascii="Arimo;Times New Roman" w:hAnsi="Arimo;Times New Roman" w:cs="Arimo;Times New Roman"/>
          <w:rtl w:val="true"/>
        </w:rPr>
        <w:t>מוחזקת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כמי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שמודעת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לתוצאות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האפשריות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הקשות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העלולות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לנבוע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מהשימוש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שייעשה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שיגיע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'</w:t>
      </w:r>
      <w:r>
        <w:rPr>
          <w:rFonts w:ascii="Arimo;Times New Roman" w:hAnsi="Arimo;Times New Roman" w:cs="Arimo;Times New Roman"/>
          <w:rtl w:val="true"/>
        </w:rPr>
        <w:t>הצרכן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הסופי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בקצה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השרשרת</w:t>
      </w:r>
      <w:r>
        <w:rPr>
          <w:rFonts w:cs="Arimo;Times New Roman" w:ascii="Arimo;Times New Roman" w:hAnsi="Arimo;Times New Roman"/>
          <w:rtl w:val="true"/>
        </w:rPr>
        <w:t>' ...".</w:t>
      </w:r>
    </w:p>
    <w:p>
      <w:pPr>
        <w:pStyle w:val="Normal"/>
        <w:spacing w:lineRule="auto" w:line="360"/>
        <w:ind w:start="1440"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/>
        <w:t>21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4998/95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נ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גומז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קרדוסו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נא</w:t>
        </w:r>
      </w:hyperlink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3</w:t>
      </w:r>
      <w:r>
        <w:rPr>
          <w:rFonts w:cs="Arimo;Times New Roman" w:ascii="Arimo;Times New Roman" w:hAnsi="Arimo;Times New Roman"/>
          <w:rtl w:val="true"/>
        </w:rPr>
        <w:t xml:space="preserve">) </w:t>
      </w:r>
      <w:r>
        <w:rPr>
          <w:rFonts w:cs="Arimo;Times New Roman" w:ascii="Arimo;Times New Roman" w:hAnsi="Arimo;Times New Roman"/>
        </w:rPr>
        <w:t>769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cs="Arimo;Times New Roman" w:ascii="Arimo;Times New Roman" w:hAnsi="Arimo;Times New Roman"/>
        </w:rPr>
        <w:t>1997</w:t>
      </w:r>
      <w:r>
        <w:rPr>
          <w:rFonts w:cs="Arimo;Times New Roman" w:ascii="Arimo;Times New Roman" w:hAnsi="Arimo;Times New Roman"/>
          <w:rtl w:val="true"/>
        </w:rPr>
        <w:t xml:space="preserve">), </w:t>
      </w:r>
      <w:r>
        <w:rPr>
          <w:rFonts w:ascii="Arimo;Times New Roman" w:hAnsi="Arimo;Times New Roman" w:cs="Arimo;Times New Roman"/>
          <w:rtl w:val="true"/>
        </w:rPr>
        <w:t>עמ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cs="Arimo;Times New Roman" w:ascii="Arimo;Times New Roman" w:hAnsi="Arimo;Times New Roman"/>
        </w:rPr>
        <w:t>786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35</w:t>
      </w:r>
      <w:r>
        <w:rPr>
          <w:rFonts w:cs="Arimo;Times New Roman" w:ascii="Arimo;Times New Roman" w:hAnsi="Arimo;Times New Roman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ומשתנה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שנסחר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האינדיבידואליים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62-55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45-37</w:t>
      </w:r>
      <w:r>
        <w:rPr>
          <w:rtl w:val="true"/>
        </w:rPr>
        <w:t xml:space="preserve">).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35186-03-18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פרידמן</w:t>
      </w:r>
      <w:r>
        <w:rPr>
          <w:rtl w:val="true"/>
        </w:rPr>
        <w:t>-</w:t>
      </w:r>
      <w:r>
        <w:rPr>
          <w:rtl w:val="true"/>
        </w:rPr>
        <w:t>פלדמן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34003-04-18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עג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אג</w:t>
      </w:r>
      <w:r>
        <w:rPr>
          <w:u w:val="single"/>
          <w:rtl w:val="true"/>
        </w:rPr>
        <w:t>'</w:t>
      </w:r>
      <w:r>
        <w:rPr>
          <w:rtl w:val="true"/>
        </w:rPr>
        <w:t xml:space="preserve"> (</w:t>
      </w:r>
      <w:r>
        <w:rPr/>
        <w:t>8.10.2018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>-</w:t>
      </w:r>
      <w:r>
        <w:rPr>
          <w:rtl w:val="true"/>
        </w:rPr>
        <w:t>לקח</w:t>
      </w:r>
      <w:r>
        <w:rPr>
          <w:rtl w:val="true"/>
        </w:rPr>
        <w:t>) (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8284/18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16.1.2019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50551-03-18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13.12.2018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כרמל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36-30</w:t>
      </w:r>
      <w:r>
        <w:rPr>
          <w:rtl w:val="true"/>
        </w:rPr>
        <w:t xml:space="preserve">;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54-46</w:t>
      </w:r>
      <w:r>
        <w:rPr>
          <w:rtl w:val="true"/>
        </w:rPr>
        <w:t xml:space="preserve">;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69-63</w:t>
      </w:r>
      <w:r>
        <w:rPr>
          <w:rtl w:val="true"/>
        </w:rPr>
        <w:t xml:space="preserve">).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35608-04-18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28.2.2019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כרמל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24215-06-13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דוידאר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17.2.2014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tl w:val="true"/>
        </w:rPr>
        <w:t>)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21.12.2014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);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11789-12-16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מאזן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ascii="Calibri" w:hAnsi="Calibri" w:cs="Calibri"/>
          <w:u w:val="single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31.12.2017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מאק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קלמנוביץ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39998-08-15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קישק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27.10.2016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20778-11-12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סלפיתי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5.5.2013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3317/09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24.11.2009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67703-11-16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מוגרבי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22.11.2017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מאק</w:t>
      </w:r>
      <w:r>
        <w:rPr>
          <w:rtl w:val="true"/>
        </w:rPr>
        <w:t>-</w:t>
      </w:r>
      <w:r>
        <w:rPr>
          <w:rtl w:val="true"/>
        </w:rPr>
        <w:t>קלמנוביץ</w:t>
      </w:r>
      <w:r>
        <w:rPr>
          <w:rtl w:val="true"/>
        </w:rPr>
        <w:t xml:space="preserve">) –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tl w:val="true"/>
        </w:rPr>
        <w:t xml:space="preserve">, </w:t>
      </w:r>
      <w:r>
        <w:rPr>
          <w:rtl w:val="true"/>
        </w:rPr>
        <w:t>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והמביא</w:t>
      </w:r>
      <w:r>
        <w:rPr>
          <w:rtl w:val="true"/>
        </w:rPr>
        <w:t xml:space="preserve">,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המתאם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פסיבי</w:t>
      </w:r>
      <w:r>
        <w:rPr>
          <w:rtl w:val="true"/>
        </w:rPr>
        <w:t xml:space="preserve">)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מהגבוהות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וכלהלן</w:t>
      </w:r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;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נעשתה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חפיפה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;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u w:val="single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וממושכת</w:t>
      </w:r>
      <w:r>
        <w:rPr>
          <w:rtl w:val="true"/>
        </w:rPr>
        <w:t xml:space="preserve">; </w:t>
      </w:r>
      <w:r>
        <w:rPr>
          <w:u w:val="single"/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tl w:val="true"/>
        </w:rPr>
        <w:t xml:space="preserve">,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ולהשתקם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26.6.2018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שרקאווי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שרקאווי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26.12.2018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u w:val="single"/>
          <w:rtl w:val="true"/>
        </w:rPr>
        <w:t>כלשונו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במקור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357-17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סוכן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הסוכן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כשבוע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24.1.18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24.1.18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ממהר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17:25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בשועאפט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בחינתו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לשאלת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רוצה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29.1.18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29.1.18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29.1.18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לשיחותיו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יאלצו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10.2.18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בשועפאט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שירוקי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נדרשים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רוכש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יארגן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המבוקש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13.2.18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לקראת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והזכיר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ותיאמו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לשועפאט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והנשק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20:20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סוס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פרנסה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שועפאט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נקודת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המפגש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20:40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ההמתנה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שהמתינו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bull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Cherokee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בהותירו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הפתוח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באוויר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ונתקל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והחזרתה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שלאחריהן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ספירתו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ועזב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בספירת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מהסוכן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בספירה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יתחשבנו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17.2.2019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מזדמנות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שועפאט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והשפעתה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חנינא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tl w:val="true"/>
        </w:rPr>
        <w:t xml:space="preserve">,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נקב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בתכנונה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ומורכבת</w:t>
      </w:r>
      <w:r>
        <w:rPr>
          <w:rtl w:val="true"/>
        </w:rPr>
        <w:t xml:space="preserve">, </w:t>
      </w:r>
      <w:r>
        <w:rPr>
          <w:rtl w:val="true"/>
        </w:rPr>
        <w:t>שבעטיה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),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ומניפולטיבי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;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u w:val="single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ולהשתקם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30.6.2018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גראב</w:t>
      </w:r>
      <w:r>
        <w:rPr>
          <w:b/>
          <w:bCs/>
          <w:u w:val="single"/>
          <w:rtl w:val="true"/>
        </w:rPr>
        <w:t xml:space="preserve">,  </w:t>
      </w:r>
      <w:r>
        <w:rPr>
          <w:b/>
          <w:b/>
          <w:bCs/>
          <w:u w:val="single"/>
          <w:rtl w:val="true"/>
        </w:rPr>
        <w:t>ובעניין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ראשד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עראר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גראב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21.1.2019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ראשד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9.1.2019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הסדרי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26.6.2018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21.9.2018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1.7.2018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30.8.2018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והרשעות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12.5.2019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rtl w:val="true"/>
        </w:rPr>
        <w:t xml:space="preserve">: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rtl w:val="true"/>
        </w:rPr>
        <w:t xml:space="preserve">: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9.1.2019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טירה</w:t>
      </w:r>
      <w:r>
        <w:rPr>
          <w:rtl w:val="true"/>
        </w:rPr>
        <w:t xml:space="preserve">,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ומסביבתו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נשקל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באחריותם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tl w:val="true"/>
        </w:rPr>
        <w:t xml:space="preserve">, </w:t>
      </w:r>
      <w:r>
        <w:rPr>
          <w:rtl w:val="true"/>
        </w:rPr>
        <w:t>נשקל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4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26.6.2018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21.9.2019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30.8.2018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ארבעת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סיאם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26.6.2018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שרקאווי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30.6.2018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גראב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26.6.2018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21.9.2019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ראשד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עראר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30.8.2018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2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ח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בתמוז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ט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11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ביולי </w:t>
            </w:r>
            <w:r>
              <w:rPr>
                <w:rFonts w:cs="Arial" w:ascii="Arial" w:hAnsi="Arial"/>
              </w:rPr>
              <w:t>2019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הנוכחים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כמפורט בפרוטוקול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bookmarkEnd w:id="12"/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  <w:font w:name="Wingdings">
    <w:charset w:val="02"/>
    <w:family w:val="auto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21906-07-18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סיאם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427EED"/>
      <w:u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/14" TargetMode="External"/><Relationship Id="rId11" Type="http://schemas.openxmlformats.org/officeDocument/2006/relationships/hyperlink" Target="http://www.nevo.co.il/law/4216/19.a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9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4216/13;19.a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4903/91" TargetMode="External"/><Relationship Id="rId29" Type="http://schemas.openxmlformats.org/officeDocument/2006/relationships/hyperlink" Target="http://www.nevo.co.il/law/74903" TargetMode="External"/><Relationship Id="rId30" Type="http://schemas.openxmlformats.org/officeDocument/2006/relationships/hyperlink" Target="http://www.nevo.co.il/law/70301/144.b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b2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4216/13;19.a" TargetMode="External"/><Relationship Id="rId35" Type="http://schemas.openxmlformats.org/officeDocument/2006/relationships/hyperlink" Target="http://www.nevo.co.il/case/23750625" TargetMode="External"/><Relationship Id="rId36" Type="http://schemas.openxmlformats.org/officeDocument/2006/relationships/hyperlink" Target="http://www.nevo.co.il/case/6024035" TargetMode="External"/><Relationship Id="rId37" Type="http://schemas.openxmlformats.org/officeDocument/2006/relationships/hyperlink" Target="http://www.nevo.co.il/case/24943628" TargetMode="External"/><Relationship Id="rId38" Type="http://schemas.openxmlformats.org/officeDocument/2006/relationships/hyperlink" Target="http://www.nevo.co.il/case/20007334" TargetMode="External"/><Relationship Id="rId39" Type="http://schemas.openxmlformats.org/officeDocument/2006/relationships/hyperlink" Target="http://www.nevo.co.il/case/21474520" TargetMode="External"/><Relationship Id="rId40" Type="http://schemas.openxmlformats.org/officeDocument/2006/relationships/hyperlink" Target="http://www.nevo.co.il/case/24370761" TargetMode="External"/><Relationship Id="rId41" Type="http://schemas.openxmlformats.org/officeDocument/2006/relationships/hyperlink" Target="http://www.nevo.co.il/case/5988308" TargetMode="External"/><Relationship Id="rId42" Type="http://schemas.openxmlformats.org/officeDocument/2006/relationships/hyperlink" Target="http://www.nevo.co.il/law/70301/144.b2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3794887" TargetMode="External"/><Relationship Id="rId45" Type="http://schemas.openxmlformats.org/officeDocument/2006/relationships/hyperlink" Target="http://www.nevo.co.il/case/23875433" TargetMode="External"/><Relationship Id="rId46" Type="http://schemas.openxmlformats.org/officeDocument/2006/relationships/hyperlink" Target="http://www.nevo.co.il/case/25167034" TargetMode="External"/><Relationship Id="rId47" Type="http://schemas.openxmlformats.org/officeDocument/2006/relationships/hyperlink" Target="http://www.nevo.co.il/case/23811621" TargetMode="External"/><Relationship Id="rId48" Type="http://schemas.openxmlformats.org/officeDocument/2006/relationships/hyperlink" Target="http://www.nevo.co.il/case/23877165" TargetMode="External"/><Relationship Id="rId49" Type="http://schemas.openxmlformats.org/officeDocument/2006/relationships/hyperlink" Target="http://www.nevo.co.il/case/7827259" TargetMode="External"/><Relationship Id="rId50" Type="http://schemas.openxmlformats.org/officeDocument/2006/relationships/hyperlink" Target="http://www.nevo.co.il/case/13090914" TargetMode="External"/><Relationship Id="rId51" Type="http://schemas.openxmlformats.org/officeDocument/2006/relationships/hyperlink" Target="http://www.nevo.co.il/case/21725190" TargetMode="External"/><Relationship Id="rId52" Type="http://schemas.openxmlformats.org/officeDocument/2006/relationships/hyperlink" Target="http://www.nevo.co.il/case/20523508" TargetMode="External"/><Relationship Id="rId53" Type="http://schemas.openxmlformats.org/officeDocument/2006/relationships/hyperlink" Target="http://www.nevo.co.il/case/4036214" TargetMode="External"/><Relationship Id="rId54" Type="http://schemas.openxmlformats.org/officeDocument/2006/relationships/hyperlink" Target="http://www.nevo.co.il/case/6244854" TargetMode="External"/><Relationship Id="rId55" Type="http://schemas.openxmlformats.org/officeDocument/2006/relationships/hyperlink" Target="http://www.nevo.co.il/case/21688764" TargetMode="External"/><Relationship Id="rId56" Type="http://schemas.openxmlformats.org/officeDocument/2006/relationships/hyperlink" Target="http://www.nevo.co.il/law/4216/13;14" TargetMode="External"/><Relationship Id="rId57" Type="http://schemas.openxmlformats.org/officeDocument/2006/relationships/hyperlink" Target="http://www.nevo.co.il/law/70301/144.b2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499.a.1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144.b" TargetMode="External"/><Relationship Id="rId62" Type="http://schemas.openxmlformats.org/officeDocument/2006/relationships/hyperlink" Target="http://www.nevo.co.il/law/70301/144.a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144.b" TargetMode="External"/><Relationship Id="rId65" Type="http://schemas.openxmlformats.org/officeDocument/2006/relationships/hyperlink" Target="http://www.nevo.co.il/law/4216/13;14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2019-07-15T11:41:00Z</dcterms:created>
  <dc:creator> </dc:creator>
  <dc:description/>
  <cp:keywords/>
  <dc:language>en-IL</dc:language>
  <cp:lastModifiedBy>h10</cp:lastModifiedBy>
  <dcterms:modified xsi:type="dcterms:W3CDTF">2019-07-15T11:41:00Z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סיאם;אחמד שרקאווי;מוחמד גראב;ראשד עראר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ProcID=133;209&amp;PartA=13223&amp;PartC=13</vt:lpwstr>
  </property>
  <property fmtid="{D5CDD505-2E9C-101B-9397-08002B2CF9AE}" pid="9" name="CASENOTES2">
    <vt:lpwstr>ProcID=209&amp;PartA=357&amp;PartC=17</vt:lpwstr>
  </property>
  <property fmtid="{D5CDD505-2E9C-101B-9397-08002B2CF9AE}" pid="10" name="CASENOTES3">
    <vt:lpwstr>ProcID=213&amp;PartA=62&amp;PartC=55</vt:lpwstr>
  </property>
  <property fmtid="{D5CDD505-2E9C-101B-9397-08002B2CF9AE}" pid="11" name="CASENOTES4">
    <vt:lpwstr>ProcID=213&amp;PartA=45&amp;PartC=37</vt:lpwstr>
  </property>
  <property fmtid="{D5CDD505-2E9C-101B-9397-08002B2CF9AE}" pid="12" name="CASENOTES5">
    <vt:lpwstr>ProcID=213&amp;PartA=36&amp;PartC=30</vt:lpwstr>
  </property>
  <property fmtid="{D5CDD505-2E9C-101B-9397-08002B2CF9AE}" pid="13" name="CASENOTES6">
    <vt:lpwstr>ProcID=213&amp;PartA=54&amp;PartC=46</vt:lpwstr>
  </property>
  <property fmtid="{D5CDD505-2E9C-101B-9397-08002B2CF9AE}" pid="14" name="CASENOTES7">
    <vt:lpwstr>ProcID=213&amp;PartA=69&amp;PartC=63</vt:lpwstr>
  </property>
  <property fmtid="{D5CDD505-2E9C-101B-9397-08002B2CF9AE}" pid="15" name="CASESLISTTMP1">
    <vt:lpwstr>23750625;6024035;24943628;20007334;21474520;24370761;5988308;23794887;23875433;25167034;23811621;23877165;7827259;13090914;21725190;20523508;4036214;6244854;21688764</vt:lpwstr>
  </property>
  <property fmtid="{D5CDD505-2E9C-101B-9397-08002B2CF9AE}" pid="16" name="CITY">
    <vt:lpwstr>י-ם</vt:lpwstr>
  </property>
  <property fmtid="{D5CDD505-2E9C-101B-9397-08002B2CF9AE}" pid="17" name="DATE">
    <vt:lpwstr>20190711</vt:lpwstr>
  </property>
  <property fmtid="{D5CDD505-2E9C-101B-9397-08002B2CF9AE}" pid="18" name="DELEMATA">
    <vt:lpwstr/>
  </property>
  <property fmtid="{D5CDD505-2E9C-101B-9397-08002B2CF9AE}" pid="19" name="ISABSTRACT">
    <vt:lpwstr>Y</vt:lpwstr>
  </property>
  <property fmtid="{D5CDD505-2E9C-101B-9397-08002B2CF9AE}" pid="20" name="JUDGE">
    <vt:lpwstr>תמר בר אשר</vt:lpwstr>
  </property>
  <property fmtid="{D5CDD505-2E9C-101B-9397-08002B2CF9AE}" pid="21" name="LAWLISTTMP1">
    <vt:lpwstr>70301/144.b2:7;025:2;499.a.1:2;144.b:4;144.a:2</vt:lpwstr>
  </property>
  <property fmtid="{D5CDD505-2E9C-101B-9397-08002B2CF9AE}" pid="22" name="LAWLISTTMP2">
    <vt:lpwstr>4216/013:4;019.a:2;014:2</vt:lpwstr>
  </property>
  <property fmtid="{D5CDD505-2E9C-101B-9397-08002B2CF9AE}" pid="23" name="LAWLISTTMP3">
    <vt:lpwstr>74903/091</vt:lpwstr>
  </property>
  <property fmtid="{D5CDD505-2E9C-101B-9397-08002B2CF9AE}" pid="24" name="LAWYER">
    <vt:lpwstr>עמרי כהן,;מיכל בלומנטל;עבד גראושה;שמעון כהן;אמיר נבון;מוחמד חלאילה</vt:lpwstr>
  </property>
  <property fmtid="{D5CDD505-2E9C-101B-9397-08002B2CF9AE}" pid="25" name="LINKK1">
    <vt:lpwstr/>
  </property>
  <property fmtid="{D5CDD505-2E9C-101B-9397-08002B2CF9AE}" pid="26" name="LINKK2">
    <vt:lpwstr/>
  </property>
  <property fmtid="{D5CDD505-2E9C-101B-9397-08002B2CF9AE}" pid="27" name="LINKK3">
    <vt:lpwstr/>
  </property>
  <property fmtid="{D5CDD505-2E9C-101B-9397-08002B2CF9AE}" pid="28" name="LINKK4">
    <vt:lpwstr/>
  </property>
  <property fmtid="{D5CDD505-2E9C-101B-9397-08002B2CF9AE}" pid="29" name="LINKK5">
    <vt:lpwstr/>
  </property>
  <property fmtid="{D5CDD505-2E9C-101B-9397-08002B2CF9AE}" pid="30" name="NEWPARTA">
    <vt:lpwstr>21906</vt:lpwstr>
  </property>
  <property fmtid="{D5CDD505-2E9C-101B-9397-08002B2CF9AE}" pid="31" name="NEWPARTB">
    <vt:lpwstr>07</vt:lpwstr>
  </property>
  <property fmtid="{D5CDD505-2E9C-101B-9397-08002B2CF9AE}" pid="32" name="NEWPARTC">
    <vt:lpwstr>18</vt:lpwstr>
  </property>
  <property fmtid="{D5CDD505-2E9C-101B-9397-08002B2CF9AE}" pid="33" name="NEWPROC">
    <vt:lpwstr>תפ</vt:lpwstr>
  </property>
  <property fmtid="{D5CDD505-2E9C-101B-9397-08002B2CF9AE}" pid="34" name="PADIMAIL">
    <vt:lpwstr/>
  </property>
  <property fmtid="{D5CDD505-2E9C-101B-9397-08002B2CF9AE}" pid="35" name="PAGE">
    <vt:lpwstr/>
  </property>
  <property fmtid="{D5CDD505-2E9C-101B-9397-08002B2CF9AE}" pid="36" name="PART">
    <vt:lpwstr/>
  </property>
  <property fmtid="{D5CDD505-2E9C-101B-9397-08002B2CF9AE}" pid="37" name="PROCESS">
    <vt:lpwstr/>
  </property>
  <property fmtid="{D5CDD505-2E9C-101B-9397-08002B2CF9AE}" pid="38" name="PROCNUM">
    <vt:lpwstr/>
  </property>
  <property fmtid="{D5CDD505-2E9C-101B-9397-08002B2CF9AE}" pid="39" name="PROCYEAR">
    <vt:lpwstr/>
  </property>
  <property fmtid="{D5CDD505-2E9C-101B-9397-08002B2CF9AE}" pid="40" name="PSAKDIN">
    <vt:lpwstr>גזר-דין</vt:lpwstr>
  </property>
  <property fmtid="{D5CDD505-2E9C-101B-9397-08002B2CF9AE}" pid="41" name="TYPE">
    <vt:lpwstr>2</vt:lpwstr>
  </property>
  <property fmtid="{D5CDD505-2E9C-101B-9397-08002B2CF9AE}" pid="42" name="TYPE_ABS_DATE">
    <vt:lpwstr>390020190711</vt:lpwstr>
  </property>
  <property fmtid="{D5CDD505-2E9C-101B-9397-08002B2CF9AE}" pid="43" name="TYPE_N_DATE">
    <vt:lpwstr>39020190711</vt:lpwstr>
  </property>
  <property fmtid="{D5CDD505-2E9C-101B-9397-08002B2CF9AE}" pid="44" name="VOLUME">
    <vt:lpwstr/>
  </property>
  <property fmtid="{D5CDD505-2E9C-101B-9397-08002B2CF9AE}" pid="45" name="WORDNUMPAGES">
    <vt:lpwstr>25</vt:lpwstr>
  </property>
</Properties>
</file>