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1625"/>
        <w:gridCol w:w="239"/>
        <w:gridCol w:w="674"/>
        <w:gridCol w:w="3301"/>
        <w:gridCol w:w="83"/>
      </w:tblGrid>
      <w:tr>
        <w:trPr>
          <w:trHeight w:val="719" w:hRule="exact"/>
        </w:trPr>
        <w:tc>
          <w:tcPr>
            <w:tcW w:w="5418" w:type="dxa"/>
            <w:gridSpan w:val="4"/>
            <w:tcBorders/>
          </w:tcPr>
          <w:p>
            <w:pPr>
              <w:pStyle w:val="Header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</w:p>
        </w:tc>
        <w:tc>
          <w:tcPr>
            <w:tcW w:w="33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50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21931-11-10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שיבלי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74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  <w:tc>
          <w:tcPr>
            <w:tcW w:w="33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719" w:type="dxa"/>
            <w:gridSpan w:val="5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יפעת שיטרית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  <w:tc>
          <w:tcPr>
            <w:tcW w:w="8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5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6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gridSpan w:val="5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ראני שיבלי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נוכחים</w:t>
      </w:r>
      <w:r>
        <w:rPr>
          <w:b w:val="false"/>
          <w:bCs w:val="false"/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קורין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בעצמו וע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י </w:t>
      </w: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שלומי שרון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סופו של יום ולאחר שערכתי איזון בין מקבץ הנסיבות לחומרא ולקולא</w:t>
      </w:r>
      <w:r>
        <w:rPr>
          <w:rtl w:val="true"/>
        </w:rPr>
        <w:t xml:space="preserve">, </w:t>
      </w:r>
      <w:r>
        <w:rPr>
          <w:rtl w:val="true"/>
        </w:rPr>
        <w:t>אני משיתה על הנאשם את העונשים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אשר ירוצו על דרך עבודות השירות</w:t>
      </w:r>
      <w:r>
        <w:rPr>
          <w:rtl w:val="true"/>
        </w:rPr>
        <w:t xml:space="preserve">, </w:t>
      </w:r>
      <w:r>
        <w:rPr>
          <w:rtl w:val="true"/>
        </w:rPr>
        <w:t>בהתאם לחוות דעת הממונה על עבודות השירות שהוגשה בעניינו</w:t>
      </w:r>
      <w:r>
        <w:rPr>
          <w:rtl w:val="true"/>
        </w:rPr>
        <w:t xml:space="preserve">. </w:t>
      </w:r>
      <w:r>
        <w:rPr>
          <w:rtl w:val="true"/>
        </w:rPr>
        <w:t xml:space="preserve">הנאשם ירצה את עבודות השירות בבית אבות </w:t>
      </w:r>
      <w:r>
        <w:rPr>
          <w:rtl w:val="true"/>
        </w:rPr>
        <w:t>"</w:t>
      </w:r>
      <w:r>
        <w:rPr>
          <w:rtl w:val="true"/>
        </w:rPr>
        <w:t>דבורי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", </w:t>
      </w:r>
      <w:r>
        <w:rPr>
          <w:rtl w:val="true"/>
        </w:rPr>
        <w:t>בימי העבודה ובשעות העבודה</w:t>
      </w:r>
      <w:r>
        <w:rPr>
          <w:rtl w:val="true"/>
        </w:rPr>
        <w:t xml:space="preserve">, </w:t>
      </w:r>
      <w:r>
        <w:rPr>
          <w:rtl w:val="true"/>
        </w:rPr>
        <w:t>כמפורט בחוות דעת הממונה</w:t>
      </w:r>
      <w:r>
        <w:rPr>
          <w:rtl w:val="true"/>
        </w:rPr>
        <w:t xml:space="preserve">. </w:t>
      </w:r>
      <w:r>
        <w:rPr>
          <w:rtl w:val="true"/>
        </w:rPr>
        <w:t>נוכח העובדה</w:t>
      </w:r>
      <w:r>
        <w:rPr>
          <w:rtl w:val="true"/>
        </w:rPr>
        <w:t xml:space="preserve">, </w:t>
      </w:r>
      <w:r>
        <w:rPr>
          <w:rtl w:val="true"/>
        </w:rPr>
        <w:t>כי מועד תחילת ריצוי עבודות השירות הנקוב בחוות הדעת חלף</w:t>
      </w:r>
      <w:r>
        <w:rPr>
          <w:rtl w:val="true"/>
        </w:rPr>
        <w:t xml:space="preserve">, </w:t>
      </w:r>
      <w:r>
        <w:rPr>
          <w:rtl w:val="true"/>
        </w:rPr>
        <w:t>אני קובעת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יחל בריצוי עבודות השירות ביום </w:t>
      </w:r>
      <w:r>
        <w:rPr/>
        <w:t>27.3.11</w:t>
      </w:r>
      <w:r>
        <w:rPr>
          <w:rtl w:val="true"/>
        </w:rPr>
        <w:t xml:space="preserve">. </w:t>
      </w:r>
      <w:r>
        <w:rPr>
          <w:rtl w:val="true"/>
        </w:rPr>
        <w:t xml:space="preserve">במועד זה בשעה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יתייצב הנאשם בפני המפקח על עבודות השירות</w:t>
      </w:r>
      <w:r>
        <w:rPr>
          <w:rtl w:val="true"/>
        </w:rPr>
        <w:t xml:space="preserve">, </w:t>
      </w:r>
      <w:r>
        <w:rPr>
          <w:rtl w:val="true"/>
        </w:rPr>
        <w:t>יחידת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מחתם בית סוהר </w:t>
      </w:r>
      <w:r>
        <w:rPr>
          <w:rtl w:val="true"/>
        </w:rPr>
        <w:t>"</w:t>
      </w:r>
      <w:r>
        <w:rPr>
          <w:rtl w:val="true"/>
        </w:rPr>
        <w:t>חרמון</w:t>
      </w:r>
      <w:r>
        <w:rPr>
          <w:rtl w:val="true"/>
        </w:rPr>
        <w:t xml:space="preserve">". </w:t>
      </w:r>
      <w:r>
        <w:rPr>
          <w:rtl w:val="true"/>
        </w:rPr>
        <w:t>הנאשם יעדכן את משרד הממונה בכל שינוי</w:t>
      </w:r>
      <w:r>
        <w:rPr>
          <w:rtl w:val="true"/>
        </w:rPr>
        <w:t xml:space="preserve">, </w:t>
      </w:r>
      <w:r>
        <w:rPr>
          <w:rtl w:val="true"/>
        </w:rPr>
        <w:t>אם יחול</w:t>
      </w:r>
      <w:r>
        <w:rPr>
          <w:rtl w:val="true"/>
        </w:rPr>
        <w:t xml:space="preserve">, </w:t>
      </w:r>
      <w:r>
        <w:rPr>
          <w:rtl w:val="true"/>
        </w:rPr>
        <w:t>בכתובת מגוריו</w:t>
      </w:r>
      <w:r>
        <w:rPr>
          <w:rtl w:val="true"/>
        </w:rPr>
        <w:t xml:space="preserve">, </w:t>
      </w:r>
      <w:r>
        <w:rPr>
          <w:rtl w:val="true"/>
        </w:rPr>
        <w:t>יעמוד בתנאי הפיקוח וביקורות הפתע</w:t>
      </w:r>
      <w:r>
        <w:rPr>
          <w:rtl w:val="true"/>
        </w:rPr>
        <w:t xml:space="preserve">. </w:t>
      </w:r>
      <w:r>
        <w:rPr>
          <w:rtl w:val="true"/>
        </w:rPr>
        <w:t>כל הפרה בעבודות השירות תביא להפסקה מנהלית ולריצוי העונש במאסר ממש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שהנאשם לא יעבור תוך 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מהיום  כל עבירה בנשק בהתאם להוראת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ויורשע 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שהנאשם לא יעבור תוך 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כל עבירת רכוש ויורשע 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אני משיתה על הנאשם קנס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 חודשיים</w:t>
      </w:r>
      <w:r>
        <w:rPr>
          <w:rtl w:val="true"/>
        </w:rPr>
        <w:t xml:space="preserve">, </w:t>
      </w:r>
      <w:r>
        <w:rPr>
          <w:rtl w:val="true"/>
        </w:rPr>
        <w:t xml:space="preserve">שווים ורצופים בסך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כל אחד</w:t>
      </w:r>
      <w:r>
        <w:rPr>
          <w:rtl w:val="true"/>
        </w:rPr>
        <w:t xml:space="preserve">. </w:t>
      </w:r>
      <w:r>
        <w:rPr>
          <w:rtl w:val="true"/>
        </w:rPr>
        <w:t xml:space="preserve">התשלום הראשון ישולם בתוך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 מהיום ובאופן רציף ועוקב</w:t>
      </w:r>
      <w:r>
        <w:rPr>
          <w:rtl w:val="true"/>
        </w:rPr>
        <w:t xml:space="preserve">. </w:t>
      </w:r>
      <w:r>
        <w:rPr>
          <w:rtl w:val="true"/>
        </w:rPr>
        <w:t>אי עמידה באחד התשלומים במועד תגרור תוספת פיגורים כדין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המזכירות תמציא העתק מגזר דין זה לממונה על עבודות 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הודעה 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לבית המשפט 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אדר 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יפעת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שיטרית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נוכח הפסיקה הנוהגת וכדי לאפשר למאשימה לשקול הגשת ערעור לבית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הנני מעכבת בזאת את מועד תחילת ריצוי עבודות השירות וזאת למשך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  <w:r>
        <w:rPr>
          <w:rtl w:val="true"/>
        </w:rPr>
        <w:t>באם יוחלט שלא להגיש ערעור</w:t>
      </w:r>
      <w:r>
        <w:rPr>
          <w:rtl w:val="true"/>
        </w:rPr>
        <w:t xml:space="preserve">, </w:t>
      </w:r>
      <w:r>
        <w:rPr>
          <w:rtl w:val="true"/>
        </w:rPr>
        <w:t>כי אז תודיע כל כך המאשימה מוקדם ככל שניתן</w:t>
      </w:r>
      <w:r>
        <w:rPr>
          <w:rtl w:val="true"/>
        </w:rPr>
        <w:t xml:space="preserve">, </w:t>
      </w:r>
      <w:r>
        <w:rPr>
          <w:rtl w:val="true"/>
        </w:rPr>
        <w:t>הן לבית המשפט בהודעה מתאימה והן לב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. </w:t>
      </w:r>
      <w:r>
        <w:rPr>
          <w:rtl w:val="true"/>
        </w:rPr>
        <w:t xml:space="preserve">בתאריך </w:t>
      </w:r>
      <w:r>
        <w:rPr/>
        <w:t>1.5.11</w:t>
      </w:r>
      <w:r>
        <w:rPr>
          <w:rtl w:val="true"/>
        </w:rPr>
        <w:t xml:space="preserve"> </w:t>
      </w:r>
      <w:r>
        <w:rPr>
          <w:rtl w:val="true"/>
        </w:rPr>
        <w:t>ובהעדר החלטה מוסמכת אחרת</w:t>
      </w:r>
      <w:r>
        <w:rPr>
          <w:rtl w:val="true"/>
        </w:rPr>
        <w:t xml:space="preserve">, </w:t>
      </w:r>
      <w:r>
        <w:rPr>
          <w:rtl w:val="true"/>
        </w:rPr>
        <w:t xml:space="preserve">יתייצב הנאשם בפני המפקח על עבודות השירות בשעה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בהתאם לגזר דין זה</w:t>
      </w:r>
      <w:r>
        <w:rPr>
          <w:rtl w:val="true"/>
        </w:rPr>
        <w:t xml:space="preserve">. </w:t>
      </w:r>
      <w:r>
        <w:rPr>
          <w:rtl w:val="true"/>
        </w:rPr>
        <w:t>באם תומצא הודעה קודם לכן אודות החלטה שלא להגיש ערעור</w:t>
      </w:r>
      <w:r>
        <w:rPr>
          <w:rtl w:val="true"/>
        </w:rPr>
        <w:t xml:space="preserve">, </w:t>
      </w:r>
      <w:r>
        <w:rPr>
          <w:rtl w:val="true"/>
        </w:rPr>
        <w:t>כי אז בהתאם להודעה שתומצא על ידי המאשימה</w:t>
      </w:r>
      <w:r>
        <w:rPr>
          <w:rtl w:val="true"/>
        </w:rPr>
        <w:t xml:space="preserve">, </w:t>
      </w:r>
      <w:r>
        <w:rPr>
          <w:rtl w:val="true"/>
        </w:rPr>
        <w:t>תינתן החלטה משלימה על ידי בית המשפט</w:t>
      </w:r>
      <w:r>
        <w:rPr>
          <w:rtl w:val="true"/>
        </w:rPr>
        <w:t xml:space="preserve">, </w:t>
      </w:r>
      <w:r>
        <w:rPr>
          <w:rtl w:val="true"/>
        </w:rPr>
        <w:t>למועד תחילת ריצוי עבודות 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 תמציא העתק החלטה זו לממונה על עבודות 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יפעת שיטרית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אדר 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יפעת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שיטרית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אייל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פלק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21931-11-10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ראני שיבלי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2011-03-22T12:13:00Z</dcterms:created>
  <dc:creator> </dc:creator>
  <dc:description/>
  <cp:keywords/>
  <dc:language>en-IL</dc:language>
  <cp:lastModifiedBy>hofit</cp:lastModifiedBy>
  <dcterms:modified xsi:type="dcterms:W3CDTF">2011-03-22T12:13:00Z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ראני שיבלי</vt:lpwstr>
  </property>
  <property fmtid="{D5CDD505-2E9C-101B-9397-08002B2CF9AE}" pid="4" name="CITY">
    <vt:lpwstr>נצ'</vt:lpwstr>
  </property>
  <property fmtid="{D5CDD505-2E9C-101B-9397-08002B2CF9AE}" pid="5" name="DATE">
    <vt:lpwstr>20110316</vt:lpwstr>
  </property>
  <property fmtid="{D5CDD505-2E9C-101B-9397-08002B2CF9AE}" pid="6" name="JUDGE">
    <vt:lpwstr>יפעת שיטרית</vt:lpwstr>
  </property>
  <property fmtid="{D5CDD505-2E9C-101B-9397-08002B2CF9AE}" pid="7" name="LAWYER">
    <vt:lpwstr>ו שלומי שרון;קורין</vt:lpwstr>
  </property>
  <property fmtid="{D5CDD505-2E9C-101B-9397-08002B2CF9AE}" pid="8" name="NEWPARTA">
    <vt:lpwstr>21931</vt:lpwstr>
  </property>
  <property fmtid="{D5CDD505-2E9C-101B-9397-08002B2CF9AE}" pid="9" name="NEWPARTB">
    <vt:lpwstr>11</vt:lpwstr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sh 10 11 21931 984 htm</vt:lpwstr>
  </property>
  <property fmtid="{D5CDD505-2E9C-101B-9397-08002B2CF9AE}" pid="14" name="TYPE">
    <vt:lpwstr>3</vt:lpwstr>
  </property>
  <property fmtid="{D5CDD505-2E9C-101B-9397-08002B2CF9AE}" pid="15" name="TYPE_ABS_DATE">
    <vt:lpwstr>380020110316</vt:lpwstr>
  </property>
  <property fmtid="{D5CDD505-2E9C-101B-9397-08002B2CF9AE}" pid="16" name="TYPE_N_DATE">
    <vt:lpwstr>38020110316</vt:lpwstr>
  </property>
  <property fmtid="{D5CDD505-2E9C-101B-9397-08002B2CF9AE}" pid="17" name="WORDNUMPAGES">
    <vt:lpwstr>2</vt:lpwstr>
  </property>
</Properties>
</file>