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21954-02-11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שרירא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21972-02-11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גיליה רביד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חן שרירא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אריאלה בן אהרון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חיים יצחקי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eastAsia="David" w:cs="FrankRuehl" w:ascii="FrankRuehl" w:hAnsi="FrankRuehl"/>
          <w:sz w:val="28"/>
          <w:szCs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5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1973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13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7" w:name="LastJudge"/>
      <w:bookmarkStart w:id="8" w:name="PsakDin"/>
      <w:bookmarkEnd w:id="7"/>
      <w:bookmarkEnd w:id="8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הורשע על פי הודאתו במסגרת שני אישומים נפרדים בעבירות של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8">
        <w:r>
          <w:rPr>
            <w:rStyle w:val="Hyperlink"/>
            <w:rFonts w:ascii="David" w:hAnsi="David" w:cs="David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וייבוא סמים לפי </w:t>
      </w:r>
      <w:hyperlink r:id="rId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0">
        <w:r>
          <w:rPr>
            <w:rStyle w:val="Hyperlink"/>
            <w:rFonts w:ascii="David" w:hAnsi="David" w:cs="David"/>
            <w:rtl w:val="true"/>
          </w:rPr>
          <w:t>פקודת הסמים המסוכנים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ג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הורשע הנאשם 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בעבירה של החזקת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רישא ל</w:t>
      </w:r>
      <w:hyperlink r:id="rId12">
        <w:r>
          <w:rPr>
            <w:rStyle w:val="Hyperlink"/>
            <w:rFonts w:ascii="David" w:hAnsi="David" w:cs="David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הודה במסגרת הסדר טיעון שבמסגרתו עותרים הצדדים להשית עליו עונש מאסר בפועל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שירוצה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בעניינו של הנאשם התקבל תסקיר שירות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בו פורטו נסיבותיו האישיות ומהן עולה כי מדובר בגבר יליד </w:t>
      </w:r>
      <w:r>
        <w:rPr>
          <w:rFonts w:cs="David" w:ascii="David" w:hAnsi="David"/>
        </w:rPr>
        <w:t>1975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לאורך כל חייו ניהל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קצינת המבחן התרשמה כי מדובר באדם בעל יכולות קוגניטיביות מילוליות גבוהות וכי מעורבותו הפלילית אינה מאפיינת את אופן התנהלותו בדרך כלל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Fonts w:ascii="David" w:hAnsi="David" w:cs="David"/>
          <w:rtl w:val="true"/>
        </w:rPr>
        <w:t>קצינת המבחן הסבירה כי להערכתה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מות אמו בגיל צעיר היווה חוויה טראומטית שעימה מתמודד הנאשם עד היום</w:t>
      </w:r>
      <w:r>
        <w:rPr>
          <w:rtl w:val="true"/>
        </w:rPr>
        <w:t xml:space="preserve">. </w:t>
      </w:r>
      <w:r>
        <w:rPr>
          <w:rtl w:val="true"/>
        </w:rPr>
        <w:t>קצינת המבחן תיארה הליך הדרגתי של טיפול שאותו עבר הנאשם על ידי פסיכולוגית</w:t>
      </w:r>
      <w:r>
        <w:rPr>
          <w:rtl w:val="true"/>
        </w:rPr>
        <w:t xml:space="preserve">, </w:t>
      </w:r>
      <w:r>
        <w:rPr>
          <w:rtl w:val="true"/>
        </w:rPr>
        <w:t>וכן את התגייסותו הכללית לשיקום אורחותיו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המליצה קצינת המבחן על העמדת הנאשם במבחן ועל הטלת ענישה שתאפשר את חזרתו המהירה לשגרת חיים פעילה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בעתירתה לאמץ את הסדר הטיעון המוצע</w:t>
      </w:r>
      <w:r>
        <w:rPr>
          <w:rtl w:val="true"/>
        </w:rPr>
        <w:t xml:space="preserve">, </w:t>
      </w:r>
      <w:r>
        <w:rPr>
          <w:rtl w:val="true"/>
        </w:rPr>
        <w:t>הדגישה מצד אחד את חומרתם העקרונית של העבירות אותן ביצע הנאשם</w:t>
      </w:r>
      <w:r>
        <w:rPr>
          <w:rtl w:val="true"/>
        </w:rPr>
        <w:t xml:space="preserve">, </w:t>
      </w:r>
      <w:r>
        <w:rPr>
          <w:rtl w:val="true"/>
        </w:rPr>
        <w:t>במיוחד על רקע עבודתו כמחנך באותם ימים ועם זאת</w:t>
      </w:r>
      <w:r>
        <w:rPr>
          <w:rtl w:val="true"/>
        </w:rPr>
        <w:t xml:space="preserve">, </w:t>
      </w:r>
      <w:r>
        <w:rPr>
          <w:rtl w:val="true"/>
        </w:rPr>
        <w:t>אמרה שאין מקום להתעלם מנסיבות אישיות ספציפיות לרבות הודאת הנאשם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התיקון שעשה והאמור בתסקיר שירות המבחן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יש בהסדר הטיעון המוצע כדי לאזן כראוי בין השיקולים לחומרא ולקולא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גם ב</w:t>
      </w:r>
      <w:r>
        <w:rPr>
          <w:rtl w:val="true"/>
        </w:rPr>
        <w:t>"</w:t>
      </w:r>
      <w:r>
        <w:rPr>
          <w:rtl w:val="true"/>
        </w:rPr>
        <w:t>כ הנאשם עתר לאמץ את הסדר הטיעון ואף הביע את רצון הנאשם כי יוטל עליו פיקוח שירות מבחן כהמלצת קצינת המבחן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ואף הנאשם עצמו הדגישו את החרטה הכנה של הנאשם ואת העובדה שהוא מייסר עצמו על מעורבותו בתיק זה</w:t>
      </w:r>
      <w:r>
        <w:rPr>
          <w:rtl w:val="true"/>
        </w:rPr>
        <w:t xml:space="preserve">, </w:t>
      </w:r>
      <w:r>
        <w:rPr>
          <w:rtl w:val="true"/>
        </w:rPr>
        <w:t>מעורבות שאיננה מאפיינת את אורחותיו ואף לא את אמונותיו וערכיו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לאחר שבחנתי את נסיבות המקרה וטיעוני הצדדים ועל רקע המפורט בתסקיר שירות המבחן</w:t>
      </w:r>
      <w:r>
        <w:rPr>
          <w:rtl w:val="true"/>
        </w:rPr>
        <w:t xml:space="preserve">, </w:t>
      </w:r>
      <w:r>
        <w:rPr>
          <w:rtl w:val="true"/>
        </w:rPr>
        <w:t>הגעתי למסקנה לכבד את הסדר הטיעון המוצע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אין צורך לומר ולהזכיר שאלמלא אותן נסיבות מיוחדות שפורטו בדברי הצדדים</w:t>
      </w:r>
      <w:r>
        <w:rPr>
          <w:rtl w:val="true"/>
        </w:rPr>
        <w:t xml:space="preserve">, </w:t>
      </w:r>
      <w:r>
        <w:rPr>
          <w:rtl w:val="true"/>
        </w:rPr>
        <w:t>היה ראוי לגזור על הנאשם בגין העבירות שבהן הורשע</w:t>
      </w:r>
      <w:r>
        <w:rPr>
          <w:rtl w:val="true"/>
        </w:rPr>
        <w:t xml:space="preserve">, </w:t>
      </w:r>
      <w:r>
        <w:rPr>
          <w:rtl w:val="true"/>
        </w:rPr>
        <w:t>ענישה חמורה יותר על רקע מדיניות הפסיקה הנוהגת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בין הצדדים התעוררה מחלוקת נוספת בשאלת מתן צו איסור פרסום קבוע על שמו של הנאשם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אין מחלוקת כי בית משפט הוציא צו איסור פרסום בעניינו של הנאשם בהליכי המעצר בתיק זה וצו זה נשאר בתוקפו גם בהליכי המעצר בבית המשפט המחוזי לאחר הגשת כתב האישום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כיום עותרת התביעה לבטל צו איסור הפרסום באשר אין בנמצא נימוק בדין המצדיק אותו</w:t>
      </w:r>
      <w:r>
        <w:rPr>
          <w:rtl w:val="true"/>
        </w:rPr>
        <w:t xml:space="preserve">, </w:t>
      </w:r>
      <w:r>
        <w:rPr>
          <w:rtl w:val="true"/>
        </w:rPr>
        <w:t>ואין מקום לעשות אבחנה פסולה בין נאשם זה לבין כל אדם אחר אשר עומד לדין</w:t>
      </w:r>
      <w:r>
        <w:rPr>
          <w:rtl w:val="true"/>
        </w:rPr>
        <w:t xml:space="preserve">, </w:t>
      </w:r>
      <w:r>
        <w:rPr>
          <w:rtl w:val="true"/>
        </w:rPr>
        <w:t>ומורשע בבית משפט בגין עבירות דומות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הצביע מנגד על הנזק שעתיד להיגרם לנאשם מעצם הפרסום</w:t>
      </w:r>
      <w:r>
        <w:rPr>
          <w:rtl w:val="true"/>
        </w:rPr>
        <w:t xml:space="preserve">, </w:t>
      </w:r>
      <w:r>
        <w:rPr>
          <w:rtl w:val="true"/>
        </w:rPr>
        <w:t>ויותר כך</w:t>
      </w:r>
      <w:r>
        <w:rPr>
          <w:rtl w:val="true"/>
        </w:rPr>
        <w:t xml:space="preserve">, </w:t>
      </w:r>
      <w:r>
        <w:rPr>
          <w:rtl w:val="true"/>
        </w:rPr>
        <w:t>מעצם הפרסום שעלול להיות שגוי ומנופח בנסיבות הענין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 לנאשם רצון להמשיך ולעסוק בחינוך במסגרת תנועה שאליה הוא משתייך וכל פרסום מסוג זה עלול לפגוע בו ובעתידו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אומר כבר עתה</w:t>
      </w:r>
      <w:r>
        <w:rPr>
          <w:rtl w:val="true"/>
        </w:rPr>
        <w:t xml:space="preserve">, </w:t>
      </w:r>
      <w:r>
        <w:rPr>
          <w:rtl w:val="true"/>
        </w:rPr>
        <w:t>וככל שהדבר מתיחס לאיסור הפרסום</w:t>
      </w:r>
      <w:r>
        <w:rPr>
          <w:rtl w:val="true"/>
        </w:rPr>
        <w:t xml:space="preserve">, </w:t>
      </w:r>
      <w:r>
        <w:rPr>
          <w:rtl w:val="true"/>
        </w:rPr>
        <w:t>לא מצאתי כי קיימת עילה שבדין להשאירו על מכונו</w:t>
      </w:r>
      <w:r>
        <w:rPr>
          <w:rtl w:val="true"/>
        </w:rPr>
        <w:t xml:space="preserve">. </w:t>
      </w:r>
      <w:r>
        <w:rPr>
          <w:rtl w:val="true"/>
        </w:rPr>
        <w:t>אותם נימוקים שהיו יפים בשעתו בהליכי המעצר כאשר מדובר היה בשלבים ראשוניים של ההליך ובטרם נודע מה ייוחס לנאשם ובמה יורשע</w:t>
      </w:r>
      <w:r>
        <w:rPr>
          <w:rtl w:val="true"/>
        </w:rPr>
        <w:t xml:space="preserve">, </w:t>
      </w:r>
      <w:r>
        <w:rPr>
          <w:rtl w:val="true"/>
        </w:rPr>
        <w:t>אולי היה טעם והיגיון ומחשבה שלא לפגוע בו מעבר לנדרש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כאשר הנאשם הורשע בדין בהסתמך על הודאתו</w:t>
      </w:r>
      <w:r>
        <w:rPr>
          <w:rtl w:val="true"/>
        </w:rPr>
        <w:t xml:space="preserve">, </w:t>
      </w:r>
      <w:r>
        <w:rPr>
          <w:rtl w:val="true"/>
        </w:rPr>
        <w:t>אין מקום לעשות כל אבחנה בינו לבין כל נאשם אחר ולא הובאו בפני נימוקים או פגיעה יוצאת דופן שיש בגינה לאבחן נאשם זה מנאשמים אחרים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>אשר על כן אני מבטלת את צו איסור הפרסום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  <w:t>סיכומו של דבר במכלול השיקולים ותוך שאני לוקחת בחשבון לקולא גם את הודאת הנאשם</w:t>
      </w:r>
      <w:r>
        <w:rPr>
          <w:rtl w:val="true"/>
        </w:rPr>
        <w:t xml:space="preserve">, </w:t>
      </w:r>
      <w:r>
        <w:rPr>
          <w:rtl w:val="true"/>
        </w:rPr>
        <w:t>חרטתו וכן מצבו הכלכלי שאיננו מן המשופרים</w:t>
      </w:r>
      <w:r>
        <w:rPr>
          <w:rtl w:val="true"/>
        </w:rPr>
        <w:t xml:space="preserve">, </w:t>
      </w:r>
      <w:r>
        <w:rPr>
          <w:rtl w:val="true"/>
        </w:rPr>
        <w:t>אני גוזרת עליו את העונשים הבאים</w:t>
      </w:r>
      <w:r>
        <w:rPr>
          <w:rtl w:val="true"/>
        </w:rPr>
        <w:t>:</w:t>
      </w:r>
    </w:p>
    <w:p>
      <w:pPr>
        <w:pStyle w:val="David"/>
        <w:ind w:hanging="720" w:start="720" w:end="0"/>
        <w:jc w:val="both"/>
        <w:rPr/>
      </w:pP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 xml:space="preserve">מאסר בפועל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המאסר ירוצה בדרך של עבודות שירות בהתאם לחוות דעת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לפיה הנאשם יעבוד במפעל צ</w:t>
      </w:r>
      <w:r>
        <w:rPr>
          <w:rtl w:val="true"/>
        </w:rPr>
        <w:t>'</w:t>
      </w:r>
      <w:r>
        <w:rPr>
          <w:rtl w:val="true"/>
        </w:rPr>
        <w:t xml:space="preserve">יינס ישראל ברחוב הארד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תל אביב</w:t>
      </w:r>
      <w:r>
        <w:rPr>
          <w:rtl w:val="true"/>
        </w:rPr>
        <w:t xml:space="preserve">, </w:t>
      </w:r>
      <w:r>
        <w:rPr>
          <w:rtl w:val="true"/>
        </w:rPr>
        <w:t>בימים ובשעות שנקבעו בחוות הדעת</w:t>
      </w:r>
      <w:r>
        <w:rPr>
          <w:rtl w:val="true"/>
        </w:rPr>
        <w:t>.</w:t>
      </w:r>
    </w:p>
    <w:p>
      <w:pPr>
        <w:pStyle w:val="David"/>
        <w:ind w:start="720" w:end="0"/>
        <w:jc w:val="both"/>
        <w:rPr/>
      </w:pPr>
      <w:r>
        <w:rPr>
          <w:rtl w:val="true"/>
        </w:rPr>
        <w:t xml:space="preserve">הנאשם יחל בריצוי עבודות השירות ביום </w:t>
      </w:r>
      <w:r>
        <w:rPr/>
        <w:t>25.9.2011</w:t>
      </w:r>
      <w:r>
        <w:rPr>
          <w:rtl w:val="true"/>
        </w:rPr>
        <w:t xml:space="preserve"> </w:t>
      </w:r>
      <w:r>
        <w:rPr>
          <w:rtl w:val="true"/>
        </w:rPr>
        <w:t xml:space="preserve">ועליו להתייצב ביום זה 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במפקדת מחוז מרכז ברמלה</w:t>
      </w:r>
      <w:r>
        <w:rPr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 xml:space="preserve">מאסר על תנאי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שהנאשם לא יעבור את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 xml:space="preserve">הנאשם ישלם קנס בסך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שהראשון שבהם ביום </w:t>
      </w:r>
      <w:r>
        <w:rPr/>
        <w:t>1.11.2011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בחודש שלאחריו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/>
        <w:t>4</w:t>
      </w:r>
      <w:r>
        <w:rPr>
          <w:rtl w:val="true"/>
        </w:rPr>
        <w:t>)</w:t>
        <w:tab/>
      </w:r>
      <w:r>
        <w:rPr>
          <w:rtl w:val="true"/>
        </w:rPr>
        <w:t>הנאשם יעמוד בפיקוח שירות המבחן למשך שנה מהיום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u w:val="single"/>
        </w:rPr>
      </w:pPr>
      <w:r>
        <w:rPr>
          <w:u w:val="single"/>
          <w:rtl w:val="true"/>
        </w:rPr>
        <w:t>המזכירות תעביר עותק מגזר הדין לממונה על עבודות השירות</w:t>
      </w:r>
      <w:r>
        <w:rPr>
          <w:u w:val="single"/>
          <w:rtl w:val="true"/>
        </w:rPr>
        <w:t>.</w:t>
      </w:r>
    </w:p>
    <w:p>
      <w:pPr>
        <w:pStyle w:val="David"/>
        <w:ind w:end="0"/>
        <w:jc w:val="both"/>
        <w:rPr>
          <w:u w:val="single"/>
        </w:rPr>
      </w:pPr>
      <w:r>
        <w:rPr>
          <w:u w:val="single"/>
          <w:rtl w:val="true"/>
        </w:rPr>
        <w:t>המזכירות תעביר עותק מגזר הדין גם לשירות המבחן</w:t>
      </w:r>
    </w:p>
    <w:p>
      <w:pPr>
        <w:pStyle w:val="David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07/09/2011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גיליה רביד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גיליה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אודליה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אשרוב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21954-02-11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חן שרירא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99.a.1" TargetMode="External"/><Relationship Id="rId5" Type="http://schemas.openxmlformats.org/officeDocument/2006/relationships/hyperlink" Target="http://www.nevo.co.il/law/4216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2016-05-03T11:56:00Z</dcterms:created>
  <dc:creator> </dc:creator>
  <dc:description/>
  <cp:keywords/>
  <dc:language>en-IL</dc:language>
  <cp:lastModifiedBy>hofit</cp:lastModifiedBy>
  <dcterms:modified xsi:type="dcterms:W3CDTF">2016-05-03T11:56:00Z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חן שרירא</vt:lpwstr>
  </property>
  <property fmtid="{D5CDD505-2E9C-101B-9397-08002B2CF9AE}" pid="4" name="CITY">
    <vt:lpwstr>ת"א</vt:lpwstr>
  </property>
  <property fmtid="{D5CDD505-2E9C-101B-9397-08002B2CF9AE}" pid="5" name="DATE">
    <vt:lpwstr>20110907</vt:lpwstr>
  </property>
  <property fmtid="{D5CDD505-2E9C-101B-9397-08002B2CF9AE}" pid="6" name="JUDGE">
    <vt:lpwstr>גיליה רביד</vt:lpwstr>
  </property>
  <property fmtid="{D5CDD505-2E9C-101B-9397-08002B2CF9AE}" pid="7" name="LAWLISTTMP1">
    <vt:lpwstr>70301/499.a.1;144.a</vt:lpwstr>
  </property>
  <property fmtid="{D5CDD505-2E9C-101B-9397-08002B2CF9AE}" pid="8" name="LAWLISTTMP2">
    <vt:lpwstr>4216/013</vt:lpwstr>
  </property>
  <property fmtid="{D5CDD505-2E9C-101B-9397-08002B2CF9AE}" pid="9" name="LAWYER">
    <vt:lpwstr>אריאלה בן אהרון;חיים יצחקי</vt:lpwstr>
  </property>
  <property fmtid="{D5CDD505-2E9C-101B-9397-08002B2CF9AE}" pid="10" name="NEWPARTA">
    <vt:lpwstr>21954</vt:lpwstr>
  </property>
  <property fmtid="{D5CDD505-2E9C-101B-9397-08002B2CF9AE}" pid="11" name="NEWPARTB">
    <vt:lpwstr>02</vt:lpwstr>
  </property>
  <property fmtid="{D5CDD505-2E9C-101B-9397-08002B2CF9AE}" pid="12" name="NEWPARTC">
    <vt:lpwstr>11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390020110907</vt:lpwstr>
  </property>
  <property fmtid="{D5CDD505-2E9C-101B-9397-08002B2CF9AE}" pid="17" name="TYPE_N_DATE">
    <vt:lpwstr>39020110907</vt:lpwstr>
  </property>
  <property fmtid="{D5CDD505-2E9C-101B-9397-08002B2CF9AE}" pid="18" name="WORDNUMPAGES">
    <vt:lpwstr>4</vt:lpwstr>
  </property>
</Properties>
</file>