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21958-02-11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טאהא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פתחי טאהא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אליזבט קדמון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מחאג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 הובא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באמצעות הליווי</w:t>
      </w:r>
      <w:r>
        <w:rPr>
          <w:u w:val="none"/>
          <w:rtl w:val="true"/>
        </w:rPr>
        <w:t>]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פתח דבר</w:t>
      </w:r>
      <w:r>
        <w:rPr>
          <w:rFonts w:ascii="Times New Roman" w:hAnsi="Times New Roman" w:eastAsia="Times New Roman" w:cs="Times New Roman"/>
          <w:rtl w:val="true"/>
        </w:rPr>
        <w:t xml:space="preserve">         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bookmarkStart w:id="9" w:name="ABSTRACT_START"/>
      <w:bookmarkEnd w:id="9"/>
      <w:r>
        <w:rPr>
          <w:rFonts w:ascii="Times New Roman" w:hAnsi="Times New Roman" w:eastAsia="Times New Roman" w:cs="Times New Roman"/>
          <w:rtl w:val="true"/>
        </w:rPr>
        <w:t>במסגרת הסדר 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הודה הנאשם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הנאשם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בעובדות כתב אישום מתוקן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ועל סמך הודאתו זו הורשע בעבירה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קשירת קשר לפשע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מספר מקרים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7">
        <w:r>
          <w:rPr>
            <w:rStyle w:val="Hyperlink"/>
            <w:rFonts w:ascii="Times New Roman" w:hAnsi="Times New Roman" w:eastAsia="Times New Roman" w:cs="Times New Roman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eastAsia="Times New Roman" w:cs="Times New Roman" w:ascii="Times New Roman" w:hAnsi="Times New Roman"/>
          </w:rPr>
          <w:t>499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)(</w:t>
        </w:r>
        <w:r>
          <w:rPr>
            <w:rStyle w:val="Hyperlink"/>
            <w:rFonts w:eastAsia="Times New Roman" w:cs="Times New Roman" w:ascii="Times New Roman" w:hAnsi="Times New Roman"/>
          </w:rPr>
          <w:t>1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8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חוק העונשין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נשיאה</w:t>
      </w:r>
      <w:r>
        <w:rPr>
          <w:rFonts w:eastAsia="Times New Roman" w:cs="Times New Roman" w:ascii="Times New Roman" w:hAnsi="Times New Roman"/>
          <w:b/>
          <w:bCs/>
          <w:rtl w:val="true"/>
        </w:rPr>
        <w:t>)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מספר מקרים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9">
        <w:r>
          <w:rPr>
            <w:rStyle w:val="Hyperlink"/>
            <w:rFonts w:ascii="Times New Roman" w:hAnsi="Times New Roman" w:eastAsia="Times New Roman" w:cs="Times New Roman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eastAsia="Times New Roman" w:cs="Times New Roman" w:ascii="Times New Roman" w:hAnsi="Times New Roman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רישא</w:t>
      </w:r>
      <w:r>
        <w:rPr>
          <w:rFonts w:eastAsia="Times New Roman" w:cs="Times New Roman" w:ascii="Times New Roman" w:hAnsi="Times New Roman"/>
          <w:rtl w:val="true"/>
        </w:rPr>
        <w:t>+</w:t>
      </w:r>
      <w:r>
        <w:rPr>
          <w:rFonts w:ascii="Times New Roman" w:hAnsi="Times New Roman" w:eastAsia="Times New Roman" w:cs="Times New Roman"/>
          <w:rtl w:val="true"/>
        </w:rPr>
        <w:t>סיפא לחוק העונשין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ניסיון לעבירות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סחר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ועסקה אחרת</w:t>
      </w:r>
      <w:r>
        <w:rPr>
          <w:rFonts w:eastAsia="Times New Roman" w:cs="Times New Roman" w:ascii="Times New Roman" w:hAnsi="Times New Roman"/>
          <w:b/>
          <w:bCs/>
          <w:rtl w:val="true"/>
        </w:rPr>
        <w:t>),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10">
        <w:r>
          <w:rPr>
            <w:rStyle w:val="Hyperlink"/>
            <w:rFonts w:ascii="Times New Roman" w:hAnsi="Times New Roman" w:eastAsia="Times New Roman" w:cs="Times New Roman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eastAsia="Times New Roman" w:cs="Times New Roman" w:ascii="Times New Roman" w:hAnsi="Times New Roman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</w:rPr>
          <w:t>2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)+</w:t>
        </w:r>
        <w:r>
          <w:rPr>
            <w:rStyle w:val="Hyperlink"/>
            <w:rFonts w:eastAsia="Times New Roman" w:cs="Times New Roman" w:ascii="Times New Roman" w:hAnsi="Times New Roman"/>
          </w:rPr>
          <w:t>25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</w:t>
      </w:r>
      <w:bookmarkStart w:id="10" w:name="ABSTRACT_END"/>
      <w:bookmarkEnd w:id="10"/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 פי המתואר בכתב האישום המתוקן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במהלך שנת </w:t>
      </w:r>
      <w:r>
        <w:rPr>
          <w:rFonts w:eastAsia="Times New Roman" w:cs="Times New Roman" w:ascii="Times New Roman" w:hAnsi="Times New Roman"/>
        </w:rPr>
        <w:t>2010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קשר הנאשם קשר עם באסל מוקטראן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באסל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ואחיו איסלאם מוקטראן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איסלאם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לביצוע עבירות פלילות למטרות רווח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הקשר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eastAsia="Times New Roman" w:cs="Times New Roman"/>
          <w:rtl w:val="true"/>
        </w:rPr>
        <w:t>במסגרת הקשר עמדו באסל ואיסלאם  במרכזו של ארגון הפועל בשיטתיות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בתבנית היררכית ומתמשכת לביצוע עבירות בנשק ובאמל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ח הכוללת רכישת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חקלי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תחמושת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ואמל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ח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סחר בהם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בתמורה ובין שלא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הרכבה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תיקון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והובלת נשק לאחרים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עבירות נשק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eastAsia="Times New Roman" w:cs="Times New Roman"/>
          <w:rtl w:val="true"/>
        </w:rPr>
        <w:t>באסל ואיסלאם פעלו באופן היררכי כך שבאסל עמד בראש הארגון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ניהל אותו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כוון את אנשיו ופיקח עליהם באמצעות איסלאם אשר שימש כיד ימינו בארגון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ביצע את הוראותיו של באסל וביצע בשליחותו פעולות הקשורות לעבירות הנשק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בנוסף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באסל יצר קשר עם סוחרי נשק אחרים שפעלו במקביל לו למצבור כלי נשק ואמל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ח וסחר בו עם אחרים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באסל היה בעל מומחיות וידע בתיקון כלי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הרכבתם ושימש מומחה לכל בעיה טכנית או תקלה אליו הגיעו אחרים לשם תיקון כלי 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במסגרת הארגון פעלו באסל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איסלאם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ואחרים בשיטתיות ונקטו אמצעי זהירות מובהקים בביצוע עבירות הנשק הכוללים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rtl w:val="true"/>
        </w:rPr>
        <w:t>שימוש בביטויים וקודים המוכרים רק להם ולאחרים עימם קשרו הקשר לביצוע 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הקפדה על קשירת קשר רק עם אחרים המוכרים להם היטב ואלה שימשו על פי רוב כמתווכים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בלדרים או סוחרי נשקעצמאיים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והחזקת כלי הנשק במקומות מסתור מחוץ לבתיהם של באסל ואיסלאם ולעתים מסירת כלי הנשק והתחמושת להחזקה ומשמרות עבורם אצל החיילים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 כן מרבית העסקאות בנשק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מקומות המפגש והחזקת כלי הנשק והאמל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ח התקיימו ברפת או בסמוך לה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בתקופה הרלוונטית בכתב האישום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פעלו באסל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איסלאם החיילים והסוחרים במסגרת הקשר לשם מימוש מטרות הארגון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לביצוע 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כמפורט להלן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עובר למועד הרלוונטי בכתב האישום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שררה הכרות מוקדמת בין הנאשם לבין באסל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במועדים הרלוונטים לכתב האישום ובמהלך התקופה שבין </w:t>
      </w:r>
      <w:r>
        <w:rPr>
          <w:rFonts w:eastAsia="Times New Roman" w:cs="Times New Roman" w:ascii="Times New Roman" w:hAnsi="Times New Roman"/>
        </w:rPr>
        <w:t>12.10.10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עד ליום </w:t>
      </w:r>
      <w:r>
        <w:rPr>
          <w:rFonts w:eastAsia="Times New Roman" w:cs="Times New Roman" w:ascii="Times New Roman" w:hAnsi="Times New Roman"/>
        </w:rPr>
        <w:t>15.11.10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עסק הנאשם בסחר בכלי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בתחמושת ובאמל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ח כמפורט להלן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12.10.10</w:t>
      </w:r>
      <w:r>
        <w:rPr>
          <w:rtl w:val="true"/>
        </w:rPr>
        <w:t xml:space="preserve"> </w:t>
      </w:r>
      <w:r>
        <w:rPr>
          <w:rtl w:val="true"/>
        </w:rPr>
        <w:t>התקשר הנאשם אל באסל ושאל אם יש ברשותו כלי נשק  או תחמושת המיועדים לאדם אחר עימו היה הנאשם בקשר עוד קודם לכן</w:t>
      </w:r>
      <w:r>
        <w:rPr>
          <w:rtl w:val="true"/>
        </w:rPr>
        <w:t xml:space="preserve">. </w:t>
      </w:r>
      <w:r>
        <w:rPr>
          <w:rtl w:val="true"/>
        </w:rPr>
        <w:t>באסל השיב כי יש ברשותו מלאי גדול</w:t>
      </w:r>
      <w:r>
        <w:rPr>
          <w:rtl w:val="true"/>
        </w:rPr>
        <w:t xml:space="preserve">. </w:t>
      </w:r>
      <w:r>
        <w:rPr>
          <w:rtl w:val="true"/>
        </w:rPr>
        <w:t>הנאשם ובאסל סיכמו להמשיך ולקדם את עסקת הנשק שרקם הנאשם עם האחר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13.10.10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17:10</w:t>
      </w:r>
      <w:r>
        <w:rPr>
          <w:rtl w:val="true"/>
        </w:rPr>
        <w:t xml:space="preserve"> </w:t>
      </w:r>
      <w:r>
        <w:rPr>
          <w:rtl w:val="true"/>
        </w:rPr>
        <w:t xml:space="preserve">התקשר הנאשם אל באסל וסיכם עימו כי באסל יעביר לו שמונה קרטונים המכילים תחמושת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התחמושת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באסל הסכים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במועד שאינו ידוע</w:t>
      </w:r>
      <w:r>
        <w:rPr>
          <w:rtl w:val="true"/>
        </w:rPr>
        <w:t xml:space="preserve">, </w:t>
      </w:r>
      <w:r>
        <w:rPr>
          <w:rtl w:val="true"/>
        </w:rPr>
        <w:t>קיבל הנאשם לידיו את התחמושת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27.10.10</w:t>
      </w:r>
      <w:r>
        <w:rPr>
          <w:rtl w:val="true"/>
        </w:rPr>
        <w:t xml:space="preserve"> </w:t>
      </w:r>
      <w:r>
        <w:rPr>
          <w:rtl w:val="true"/>
        </w:rPr>
        <w:t>התקשר הנאשם וביקש לרכוש תערובת של תחמושת לנשק</w:t>
      </w:r>
      <w:r>
        <w:rPr>
          <w:rtl w:val="true"/>
        </w:rPr>
        <w:t>.</w:t>
      </w:r>
      <w:r>
        <w:rPr>
          <w:rtl w:val="true"/>
        </w:rPr>
        <w:t>באסל הביע תמיהה על כך שכבר נגמר לנאשם מלאי התחמושת שקיבל ממנו והשניים סיכמו כי באסל יעביר לו את המבוקש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ד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 xml:space="preserve">ביום </w:t>
      </w:r>
      <w:r>
        <w:rPr>
          <w:rFonts w:eastAsia="Times New Roman" w:cs="Times New Roman" w:ascii="Times New Roman" w:hAnsi="Times New Roman"/>
        </w:rPr>
        <w:t>15.11.10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התקשר הנאשם אל באסל וביקש ממנו לתקן בעיה בשני כלי 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השניים קבעו להיפגש בביתו של באסל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במהלך היום נפגש הנאשם עם באסל שתיקן עבורו את כלי הנשק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למחרת היום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התקשר הנאשם שוב אל באסל ואמר לו כי שני כלי הנשק שעביר לו עדיין מקולקלים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באסל השיב כי תיקן אותם וכי אכן הייתה בהם תקלה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בהזדמנות זו ביקש הנאשם להיפגש עם באסל ולהציג בפניו כלי נשק נוסף שאינו תקין ומעוניין לוודא שכלי הנשק פועל כשורה לפני מכירתו לאחר המעוניין בו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 xml:space="preserve">במסגרת הסדר הטיעון סוכם כי המאשימה תטען לעונש מאסר ראוי לתקופה של </w:t>
      </w:r>
      <w:r>
        <w:rPr>
          <w:rFonts w:eastAsia="Times New Roman" w:cs="Times New Roman" w:ascii="Times New Roman" w:hAnsi="Times New Roman"/>
        </w:rPr>
        <w:t>20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 בנוסף למאסר מותנה וקנס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ואילו הסניגור יטען לעונשים מופחתים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המאשימה עמדה על חומרת המעשים המיוחסים לנאשם וטענה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אין המדובר במעידה חד פעמית כי אם בסדרת מעשים אינטנסיביים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טענה כי לנאשם עבר פלילי מכביד לרבות הרשעות בעבירות בנשק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המאשימה עתרה להטיל על הנאשם עונשמאסר בפועל למשך </w:t>
      </w:r>
      <w:r>
        <w:rPr>
          <w:rFonts w:eastAsia="Times New Roman" w:cs="Times New Roman" w:ascii="Times New Roman" w:hAnsi="Times New Roman"/>
        </w:rPr>
        <w:t>20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מאסר מותנה וקנס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הסניגור עמד על עברו הפלילי של הנאשם וטען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הנאשם הורשע בעבירה בנשק בשנת </w:t>
      </w:r>
      <w:r>
        <w:rPr>
          <w:rFonts w:eastAsia="Times New Roman" w:cs="Times New Roman" w:ascii="Times New Roman" w:hAnsi="Times New Roman"/>
        </w:rPr>
        <w:t>1995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היינו לפני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וכי במהלך מאסרו נקלע לשימוש בסמים והורשע בעבירת סמים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באופן שאין לראות בעברו נסיבה מחמירה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ביקש הסניגור להתחשב בנתוניו של הנאשם לרבות הודאתו והחרטה אותה הביע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חלקו המזערי בפרשת כתב האישום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וכי הנאשם התחתן בשנת </w:t>
      </w:r>
      <w:r>
        <w:rPr>
          <w:rFonts w:eastAsia="Times New Roman" w:cs="Times New Roman" w:ascii="Times New Roman" w:hAnsi="Times New Roman"/>
        </w:rPr>
        <w:t>2004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והוא אב לשני ילדים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עובד בחברה באופן קבוע מזה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מטפל בשני הוריו החיים בביתו וסובלים ממחלות קשות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הסניגור ביקש להסתפק בתקופת המעצר בה נתון הנאשם החל מיום </w:t>
      </w:r>
      <w:r>
        <w:rPr>
          <w:rFonts w:eastAsia="Times New Roman" w:cs="Times New Roman" w:ascii="Times New Roman" w:hAnsi="Times New Roman"/>
        </w:rPr>
        <w:t>24.1.2011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הנאשם הביע צער וחרטה על מעשיו וביקש להקל בעונש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כתב האישום מפרט פרשה מסועפת וחמורה של עבירות בנשק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ומפרט את השתלשלות התפקידים של המעורבים לרבות של הנאשם בעבירות אלו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במעשיו המתוארים קשר הנאשם קשר לפשע במספר הזדמנויות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נשא והוביל נשק ותחמושת ללא רשות על פי דין במספר מקרים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וכן ניסה לסחור בנשק במספר הזדמנויות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</w:t>
      </w: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עבירות בנשק טומנות בחובן סכנה רבה הפכו לנגע ממאיר בחברה בכלל ובאזורינו בפרט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יש להביא לביעורה של תופעה זו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דרך הטלת עונשים כבדים והולמים אשר יהיה בהם כדי להעניש את העבריין האינידווידואלי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לייצר הרתעה בציבור כמו גם לשמור על האינטרס הציבורי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ראה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hyperlink r:id="rId11">
        <w:r>
          <w:rPr>
            <w:rStyle w:val="Hyperlink"/>
            <w:rFonts w:ascii="Times New Roman" w:hAnsi="Times New Roman" w:eastAsia="Times New Roman" w:cs="Times New Roman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</w:rPr>
          <w:t>5921/08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רביע רג</w:t>
      </w:r>
      <w:r>
        <w:rPr>
          <w:rFonts w:eastAsia="Times New Roman" w:cs="Times New Roman" w:ascii="Times New Roman" w:hAnsi="Times New Roman"/>
          <w:b/>
          <w:bCs/>
          <w:rtl w:val="true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בי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ניתן ביום </w:t>
      </w:r>
      <w:r>
        <w:rPr>
          <w:rFonts w:eastAsia="Times New Roman" w:cs="Times New Roman" w:ascii="Times New Roman" w:hAnsi="Times New Roman"/>
        </w:rPr>
        <w:t>6.5.09</w:t>
      </w:r>
      <w:r>
        <w:rPr>
          <w:rFonts w:eastAsia="Times New Roman" w:cs="Times New Roman" w:ascii="Times New Roman" w:hAnsi="Times New Roman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.        </w:t>
      </w:r>
      <w:r>
        <w:rPr>
          <w:rFonts w:ascii="Times New Roman" w:hAnsi="Times New Roman" w:eastAsia="Times New Roman" w:cs="Times New Roman"/>
          <w:rtl w:val="true"/>
        </w:rPr>
        <w:t>לנאשם בפנינו עבר פלילי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מעיון בגיליון הרשעותיו הקומדות עולה כי הנאשם הורשע בשנת </w:t>
      </w:r>
      <w:r>
        <w:rPr>
          <w:rFonts w:eastAsia="Times New Roman" w:cs="Times New Roman" w:ascii="Times New Roman" w:hAnsi="Times New Roman"/>
        </w:rPr>
        <w:t>1996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בעבירה של יצור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יבוא ויצוא של נשק בלי רשות ונידון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למאסר לקופה של </w:t>
      </w:r>
      <w:r>
        <w:rPr>
          <w:rFonts w:eastAsia="Times New Roman" w:cs="Times New Roman" w:ascii="Times New Roman" w:hAnsi="Times New Roman"/>
        </w:rPr>
        <w:t>60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כמו כן הורשע הנאשם בשנת </w:t>
      </w:r>
      <w:r>
        <w:rPr>
          <w:rFonts w:eastAsia="Times New Roman" w:cs="Times New Roman" w:ascii="Times New Roman" w:hAnsi="Times New Roman"/>
        </w:rPr>
        <w:t>1998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בעבירה של החזקה</w:t>
      </w:r>
      <w:r>
        <w:rPr>
          <w:rFonts w:eastAsia="Times New Roman" w:cs="Times New Roman" w:ascii="Times New Roman" w:hAnsi="Times New Roman"/>
          <w:rtl w:val="true"/>
        </w:rPr>
        <w:t>/</w:t>
      </w:r>
      <w:r>
        <w:rPr>
          <w:rFonts w:ascii="Times New Roman" w:hAnsi="Times New Roman" w:eastAsia="Times New Roman" w:cs="Times New Roman"/>
          <w:rtl w:val="true"/>
        </w:rPr>
        <w:t>שימוש בסמים שלא לצריכה עצמית והושת עליו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עונש של מאסר בפועל למשך </w:t>
      </w: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בשנת </w:t>
      </w:r>
      <w:r>
        <w:rPr>
          <w:rFonts w:eastAsia="Times New Roman" w:cs="Times New Roman" w:ascii="Times New Roman" w:hAnsi="Times New Roman"/>
        </w:rPr>
        <w:t>2003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הורשע הנאשם בעבירות סמים ונידון למאסר למשך </w:t>
      </w:r>
      <w:r>
        <w:rPr>
          <w:rFonts w:eastAsia="Times New Roman" w:cs="Times New Roman" w:ascii="Times New Roman" w:hAnsi="Times New Roman"/>
        </w:rPr>
        <w:t>34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יוער כי מחמת הסכנה הטמונה בעבירות בנשק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בתי המשפט הטילו על נאשמים בעבירות אלו עונשים הולמים לרבות מאסר לריצוי בפועל גם על עבריינים שזו הייתה הרשעתם הראשונה בעבירות מסוג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קל וחומר כשאין זו המעידה הראשונה בעבירות בנשק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כגודמת הנאשם בפנינו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ראה </w:t>
      </w:r>
      <w:hyperlink r:id="rId12">
        <w:r>
          <w:rPr>
            <w:rStyle w:val="Hyperlink"/>
            <w:rFonts w:ascii="Times New Roman" w:hAnsi="Times New Roman" w:eastAsia="Times New Roman" w:cs="Times New Roman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</w:rPr>
          <w:t>2718/04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 דאחל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לא פורסם</w:t>
      </w:r>
      <w:r>
        <w:rPr>
          <w:rFonts w:eastAsia="Times New Roman" w:cs="Times New Roman" w:ascii="Times New Roman" w:hAnsi="Times New Roman"/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בבואי לגזור את דינו של הנאשם אכן התחשבתי בנתונים לקולא העומדים לזכותו לרבות הודאתו בעובדות כתב האישום המתוקן והחרטה אותה הביע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על כן ולאור כל האמור לעיל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ולאחר ששקלתי את השיקולים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הן לקולא והן לחומרה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אני גוזר על הנאשם את העונשים הבאים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אני דן את הנאשם למאסר לתקופה של </w:t>
      </w:r>
      <w:r>
        <w:rPr>
          <w:rFonts w:eastAsia="Times New Roman" w:cs="Times New Roman" w:ascii="Times New Roman" w:hAnsi="Times New Roman"/>
        </w:rPr>
        <w:t>36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מתוכם </w:t>
      </w:r>
      <w:r>
        <w:rPr>
          <w:rFonts w:eastAsia="Times New Roman" w:cs="Times New Roman" w:ascii="Times New Roman" w:hAnsi="Times New Roman"/>
        </w:rPr>
        <w:t>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 לריצוי בפועל בניכוי ימי מעצרו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ואילו היתרה על תנאי למשך שלוש שנים מיום סיום המאסר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והתנאי שהנאשם לא יעבור ויורשע בפרק זמן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כל עבירה מהעבירות בהן הורשע בתיק זה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eastAsia="Times New Roman" w:cs="Arial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 xml:space="preserve">אני דן את הנאשם לתשלום קנס בסך של </w:t>
      </w:r>
      <w:r>
        <w:rPr>
          <w:rFonts w:eastAsia="Times New Roman" w:cs="Times New Roman" w:ascii="Times New Roman" w:hAnsi="Times New Roman"/>
        </w:rPr>
        <w:t>10,000</w:t>
      </w:r>
      <w:r>
        <w:rPr>
          <w:rFonts w:eastAsia="Times New Roman"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eastAsia="Times New Roman" w:cs="Times New Roman"/>
          <w:rtl w:val="true"/>
        </w:rPr>
        <w:t xml:space="preserve">או </w:t>
      </w:r>
      <w:r>
        <w:rPr>
          <w:rFonts w:eastAsia="Times New Roman" w:cs="Times New Roman" w:ascii="Times New Roman" w:hAnsi="Times New Roman"/>
        </w:rPr>
        <w:t>100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ימי מאסר שישא הנאשם בנוסף לכל מאסר אחר שהוטל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הקנס ישולם בעשרים שיעורים חודשיים שווים ורצופים וזאת בראש כל חודש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והחל מהחודש הראשון לסיום ריצוי מאסרו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eastAsia="Times New Roman" w:cs="Times New Roman" w:ascii="Times New Roman" w:hAnsi="Times New Roman"/>
          <w:b/>
          <w:bCs/>
          <w:u w:val="single"/>
        </w:rPr>
        <w:t>45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יום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b/>
          <w:bCs/>
          <w:sz w:val="6"/>
          <w:szCs w:val="6"/>
        </w:rPr>
        <w:t>#6#</w:t>
      </w: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21958-02-11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פתחי 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.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.;25" TargetMode="External"/><Relationship Id="rId11" Type="http://schemas.openxmlformats.org/officeDocument/2006/relationships/hyperlink" Target="http://www.nevo.co.il/case/6040482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2016-05-03T11:56:00Z</dcterms:created>
  <dc:creator> </dc:creator>
  <dc:description/>
  <cp:keywords/>
  <dc:language>en-IL</dc:language>
  <cp:lastModifiedBy>hofit</cp:lastModifiedBy>
  <dcterms:modified xsi:type="dcterms:W3CDTF">2016-05-03T11:56:00Z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פתחי טאהא</vt:lpwstr>
  </property>
  <property fmtid="{D5CDD505-2E9C-101B-9397-08002B2CF9AE}" pid="4" name="CASESLISTTMP1">
    <vt:lpwstr>6040482;5852404</vt:lpwstr>
  </property>
  <property fmtid="{D5CDD505-2E9C-101B-9397-08002B2CF9AE}" pid="5" name="CITY">
    <vt:lpwstr>נצ'</vt:lpwstr>
  </property>
  <property fmtid="{D5CDD505-2E9C-101B-9397-08002B2CF9AE}" pid="6" name="DATE">
    <vt:lpwstr>20110530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תאופיק כתילי</vt:lpwstr>
  </property>
  <property fmtid="{D5CDD505-2E9C-101B-9397-08002B2CF9AE}" pid="10" name="LAWLISTTMP1">
    <vt:lpwstr>70301/499.a.1;144.b;144.b2;025</vt:lpwstr>
  </property>
  <property fmtid="{D5CDD505-2E9C-101B-9397-08002B2CF9AE}" pid="11" name="LAWYER">
    <vt:lpwstr>אליזבט קדמון;מחאג'נה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21958</vt:lpwstr>
  </property>
  <property fmtid="{D5CDD505-2E9C-101B-9397-08002B2CF9AE}" pid="25" name="NEWPARTB">
    <vt:lpwstr>02</vt:lpwstr>
  </property>
  <property fmtid="{D5CDD505-2E9C-101B-9397-08002B2CF9AE}" pid="26" name="NEWPARTC">
    <vt:lpwstr>11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11 02 21958 276 htm</vt:lpwstr>
  </property>
  <property fmtid="{D5CDD505-2E9C-101B-9397-08002B2CF9AE}" pid="36" name="TYPE">
    <vt:lpwstr>2</vt:lpwstr>
  </property>
  <property fmtid="{D5CDD505-2E9C-101B-9397-08002B2CF9AE}" pid="37" name="TYPE_ABS_DATE">
    <vt:lpwstr>390020110530</vt:lpwstr>
  </property>
  <property fmtid="{D5CDD505-2E9C-101B-9397-08002B2CF9AE}" pid="38" name="TYPE_N_DATE">
    <vt:lpwstr>39020110530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