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22024-02-21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 xml:space="preserve"> 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דינת ישראל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טויטו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2021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ענת חולתא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מחלקה לחקירות שוטרים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הדס קליין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אלחנן טויטו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…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אלכס גאוסקין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6"/>
          <w:szCs w:val="6"/>
          <w:u w:val="none"/>
        </w:rPr>
      </w:pPr>
      <w:r>
        <w:rPr>
          <w:rFonts w:cs="FrankRuehl" w:ascii="FrankRuehl" w:hAnsi="FrankRuehl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  <w:bookmarkStart w:id="6" w:name="LawTable"/>
      <w:bookmarkStart w:id="7" w:name="LawTable"/>
      <w:bookmarkEnd w:id="7"/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192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  <w:bookmarkStart w:id="8" w:name="LawTable_End"/>
      <w:bookmarkStart w:id="9" w:name="LawTable_End"/>
      <w:bookmarkEnd w:id="9"/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>פרוטוקול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 האישום המתוקן מתקבל וייסרק למערכת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תמוז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01/07/2021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ענת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חולתא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סגנית הנשיא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לאור הודאת הנאשם בכתב האישום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מרשיעה את הנאשם במיוחס לו בכתב האישום המתוקן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באישום הראשון בעבירת איומים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192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התשל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 xml:space="preserve"> [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באישום השני בעבירה של תקיפה בנסיבות מחמירות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382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</w:rPr>
          <w:t>1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1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באישום השלישי בעבירה של תקיפה חבלנית בנסיבות מחמירות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382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ג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1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באישום הרביעי בעבירה של תקיפה בנסיבות מחמירות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382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</w:rPr>
          <w:t>1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באישום החמישי בעבירה של תקיפה חבלנית בנסיבות מחמירות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382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ג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באישום השישי בעבירה של החזקת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144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רישא וסיפא ב</w:t>
      </w:r>
      <w:hyperlink r:id="rId1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#5#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תמוז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01/07/2021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ענת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חולתא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סגנית הנשיא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bookmarkStart w:id="13" w:name="ABSTRACT_START"/>
      <w:bookmarkEnd w:id="13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יסוד הודאתו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הראשון בעבירת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השני בעבירה של תקיפה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השלישי בעבירה של תקיפה חבלנית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הרביעי בעבירה של תקיפה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החמישי בעבירה של תקיפה חבלנית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השישי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מתאר חמישה אישומים של מעשי אלימות כלפי 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שהייתה אשתו של הנאשם באותה 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במהלך השנים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2021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 xml:space="preserve">באישום השישי הורשע הנאשם בכך שנטל שלא כדין מהמשטרה נשק </w:t>
      </w:r>
      <w:r>
        <w:rPr>
          <w:rtl w:val="true"/>
        </w:rPr>
        <w:t>הכולל רימון גז</w:t>
      </w:r>
      <w:r>
        <w:rPr>
          <w:rtl w:val="true"/>
        </w:rPr>
        <w:t xml:space="preserve">, </w:t>
      </w:r>
      <w:r>
        <w:rPr>
          <w:rtl w:val="true"/>
        </w:rPr>
        <w:t>רימון הלם</w:t>
      </w:r>
      <w:r>
        <w:rPr>
          <w:rtl w:val="true"/>
        </w:rPr>
        <w:t xml:space="preserve">, </w:t>
      </w:r>
      <w:r>
        <w:rPr>
          <w:rtl w:val="true"/>
        </w:rPr>
        <w:t>מספר רב של כדורי ספוג</w:t>
      </w:r>
      <w:r>
        <w:rPr>
          <w:rtl w:val="true"/>
        </w:rPr>
        <w:t xml:space="preserve">, </w:t>
      </w:r>
      <w:r>
        <w:rPr>
          <w:rtl w:val="true"/>
        </w:rPr>
        <w:t>כדורי גז וכדורי 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הצדדים עותרים במשותף להטיל על הנאשם עונש מאסר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ומאסר על תנאי וכן טענו בפניי באופן חופשי לגבי רכיבי הפיצוי והקנס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 הנוגע לעונש המאסר והמאסר המותנה</w:t>
      </w:r>
      <w:r>
        <w:rPr>
          <w:rtl w:val="true"/>
        </w:rPr>
        <w:t xml:space="preserve">, </w:t>
      </w:r>
      <w:r>
        <w:rPr>
          <w:rtl w:val="true"/>
        </w:rPr>
        <w:t>ההסדר אליו הגיעו הצדדים נמצא בתוך מתחם הענישה המקובל בגין העבירות שביצע והוא משקלל היטב את נטילת האחריות מצדו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 לרכיבים הכספיים</w:t>
      </w:r>
      <w:r>
        <w:rPr>
          <w:rtl w:val="true"/>
        </w:rPr>
        <w:t xml:space="preserve">, </w:t>
      </w:r>
      <w:r>
        <w:rPr>
          <w:rtl w:val="true"/>
        </w:rPr>
        <w:t>בכל הקשור להטלת הקנס</w:t>
      </w:r>
      <w:r>
        <w:rPr>
          <w:rtl w:val="true"/>
        </w:rPr>
        <w:t xml:space="preserve">, </w:t>
      </w:r>
      <w:r>
        <w:rPr>
          <w:rtl w:val="true"/>
        </w:rPr>
        <w:t xml:space="preserve">שאלת מצבו הכלכלי של הנאשם והשלכת הטלת העונש הכלכלי על יתר בני משפחתו היא שיקול רלוונטי בהטלת עונש של קנס כפי שקבע המחוקק במסגרת תיקון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לעניין זה ניתן לקחת בחשבון את העובדה כי על פי כתב האישום לא מדובר בעבירות שבוצעו מתוך מניע כלכלי</w:t>
      </w:r>
      <w:r>
        <w:rPr>
          <w:rtl w:val="true"/>
        </w:rPr>
        <w:t xml:space="preserve">, </w:t>
      </w:r>
      <w:r>
        <w:rPr>
          <w:rtl w:val="true"/>
        </w:rPr>
        <w:t xml:space="preserve">הנאשם לא </w:t>
      </w:r>
      <w:r>
        <w:rPr>
          <w:rtl w:val="true"/>
        </w:rPr>
        <w:t>"</w:t>
      </w:r>
      <w:r>
        <w:rPr>
          <w:rtl w:val="true"/>
        </w:rPr>
        <w:t>הרוויח</w:t>
      </w:r>
      <w:r>
        <w:rPr>
          <w:rtl w:val="true"/>
        </w:rPr>
        <w:t xml:space="preserve">" </w:t>
      </w:r>
      <w:r>
        <w:rPr>
          <w:rtl w:val="true"/>
        </w:rPr>
        <w:t>רווח כספי כתוצאה מהעבירות</w:t>
      </w:r>
      <w:r>
        <w:rPr>
          <w:rtl w:val="true"/>
        </w:rPr>
        <w:t xml:space="preserve">, </w:t>
      </w:r>
      <w:r>
        <w:rPr>
          <w:rtl w:val="true"/>
        </w:rPr>
        <w:t>נמסר כי כלל הנשק הוחזר ובשים לב למכלול פרטי ההסדר</w:t>
      </w:r>
      <w:r>
        <w:rPr>
          <w:rtl w:val="true"/>
        </w:rPr>
        <w:t xml:space="preserve">, </w:t>
      </w:r>
      <w:r>
        <w:rPr>
          <w:rtl w:val="true"/>
        </w:rPr>
        <w:t>לתקופת המאסר המשמעותית ולמצב הכלכלי הנטען של המשפחה</w:t>
      </w:r>
      <w:r>
        <w:rPr>
          <w:rtl w:val="true"/>
        </w:rPr>
        <w:t xml:space="preserve">, </w:t>
      </w:r>
      <w:r>
        <w:rPr>
          <w:rtl w:val="true"/>
        </w:rPr>
        <w:t>גם בעקבות המעצר ואובדן הפרנסה</w:t>
      </w:r>
      <w:r>
        <w:rPr>
          <w:rtl w:val="true"/>
        </w:rPr>
        <w:t xml:space="preserve">, </w:t>
      </w:r>
      <w:r>
        <w:rPr>
          <w:rtl w:val="true"/>
        </w:rPr>
        <w:t>ניתן להימנע מהטלת 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 כך לגבי רכיב הפיצוי</w:t>
      </w:r>
      <w:r>
        <w:rPr>
          <w:rtl w:val="true"/>
        </w:rPr>
        <w:t xml:space="preserve">. </w:t>
      </w:r>
      <w:r>
        <w:rPr>
          <w:rtl w:val="true"/>
        </w:rPr>
        <w:t>בנוגע לפיצוי</w:t>
      </w:r>
      <w:r>
        <w:rPr>
          <w:rtl w:val="true"/>
        </w:rPr>
        <w:t xml:space="preserve">, </w:t>
      </w:r>
      <w:r>
        <w:rPr>
          <w:rtl w:val="true"/>
        </w:rPr>
        <w:t>ההלכה העקבית של בית המשפט העליון כי אין מקום להתחשב ביכולות כלכליות של העבריין בקביעת הפיצוי</w:t>
      </w:r>
      <w:r>
        <w:rPr>
          <w:rtl w:val="true"/>
        </w:rPr>
        <w:t xml:space="preserve">, </w:t>
      </w:r>
      <w:r>
        <w:rPr>
          <w:rtl w:val="true"/>
        </w:rPr>
        <w:t>מקום בו נגרם נזק לנפגע העבירה וכי פיצוי לנפגע העבירה הינו הכלל ולא החריג</w:t>
      </w:r>
      <w:r>
        <w:rPr>
          <w:rtl w:val="true"/>
        </w:rPr>
        <w:t xml:space="preserve">, </w:t>
      </w:r>
      <w:r>
        <w:rPr>
          <w:rtl w:val="true"/>
        </w:rPr>
        <w:t>וזו צריכה להיות נקודת המוצא בגזירת 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זה מדובר במס</w:t>
      </w:r>
      <w:r>
        <w:rPr>
          <w:rtl w:val="true"/>
        </w:rPr>
        <w:t xml:space="preserve">' </w:t>
      </w:r>
      <w:r>
        <w:rPr>
          <w:rtl w:val="true"/>
        </w:rPr>
        <w:t>אירועי אלימות כלפי המתלוננת</w:t>
      </w:r>
      <w:r>
        <w:rPr>
          <w:rtl w:val="true"/>
        </w:rPr>
        <w:t xml:space="preserve">, </w:t>
      </w:r>
      <w:r>
        <w:rPr>
          <w:rtl w:val="true"/>
        </w:rPr>
        <w:t>בשניים מתוכם אף נגרמה חבלה של ממש</w:t>
      </w:r>
      <w:r>
        <w:rPr>
          <w:rtl w:val="true"/>
        </w:rPr>
        <w:t xml:space="preserve">. </w:t>
      </w:r>
      <w:r>
        <w:rPr>
          <w:rtl w:val="true"/>
        </w:rPr>
        <w:t>בנסיבות אלה יש מקום לפצות את המתלוננת בגין נזקיה הפיזיים והרגשיים הנלווים למעשי האלימות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העובדה כי קורבן העבירה יכול לתבוע את נזקיו גם בהליך אחר</w:t>
      </w:r>
      <w:r>
        <w:rPr>
          <w:rtl w:val="true"/>
        </w:rPr>
        <w:t xml:space="preserve">, </w:t>
      </w:r>
      <w:r>
        <w:rPr>
          <w:rtl w:val="true"/>
        </w:rPr>
        <w:t>אין בה כדי להשליך על עצם החובה של בית המשפט לקבוע רכיב של פיצוי במסגרת גזר הדין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מאחר ואין בפניי נתונים לגבי היקף הנזק בפועל</w:t>
      </w:r>
      <w:r>
        <w:rPr>
          <w:rtl w:val="true"/>
        </w:rPr>
        <w:t xml:space="preserve">, </w:t>
      </w:r>
      <w:r>
        <w:rPr>
          <w:rtl w:val="true"/>
        </w:rPr>
        <w:t>שיעור הפיצוי במקרה זה יהיה סמלי</w:t>
      </w:r>
      <w:r>
        <w:rPr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מעצרו </w:t>
      </w:r>
      <w:r>
        <w:rPr>
          <w:rFonts w:ascii="Arial" w:hAnsi="Arial" w:cs="Arial"/>
          <w:rtl w:val="true"/>
        </w:rPr>
        <w:t>בהתאם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המאסר המותנה יופעל אם תוך 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</w:t>
      </w:r>
      <w:r>
        <w:rPr>
          <w:rFonts w:ascii="Arial" w:hAnsi="Arial" w:cs="Arial"/>
          <w:rtl w:val="true"/>
        </w:rPr>
        <w:t>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יעבור הנאשם  </w:t>
      </w:r>
      <w:r>
        <w:rPr>
          <w:rFonts w:ascii="Arial" w:hAnsi="Arial" w:cs="Arial"/>
          <w:rtl w:val="true"/>
        </w:rPr>
        <w:t>עבירת אלימות מסוג עוון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המאסר המותנה יופעל אם תוך 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</w:t>
      </w:r>
      <w:r>
        <w:rPr>
          <w:rFonts w:ascii="Arial" w:hAnsi="Arial" w:cs="Arial"/>
          <w:rtl w:val="true"/>
        </w:rPr>
        <w:t>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יעבור הנאשם  </w:t>
      </w:r>
      <w:r>
        <w:rPr>
          <w:rFonts w:ascii="Arial" w:hAnsi="Arial" w:cs="Arial"/>
          <w:rtl w:val="true"/>
        </w:rPr>
        <w:t>עבירת אלימות מסוג פשע או עבירת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ישלם פיצוי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₪ </w:t>
      </w:r>
      <w:r>
        <w:rPr>
          <w:rFonts w:ascii="Arial" w:hAnsi="Arial" w:cs="Arial"/>
          <w:rtl w:val="true"/>
        </w:rPr>
        <w:t>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ת מספר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הפיצוי יופקד בקופת בית המשפט עד ליום </w:t>
      </w:r>
      <w:r>
        <w:rPr>
          <w:rFonts w:cs="Arial" w:ascii="Arial" w:hAnsi="Arial"/>
        </w:rPr>
        <w:t>10.4.2022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</w:t>
      </w:r>
      <w:r>
        <w:rPr>
          <w:rFonts w:ascii="Arial" w:hAnsi="Arial" w:cs="Arial"/>
          <w:rtl w:val="true"/>
        </w:rPr>
        <w:t>ועבר למתלוננת בהתאם לפרטים שתמסור המאשימה למזכירות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התחמושת והנשק התפוסים יוחזרו למשטרת ישראל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z w:val="6"/>
          <w:szCs w:val="6"/>
        </w:rPr>
      </w:pPr>
      <w:r>
        <w:rPr>
          <w:rFonts w:cs="Arial" w:ascii="Calibri" w:hAnsi="Calibri"/>
          <w:sz w:val="6"/>
          <w:szCs w:val="6"/>
          <w:rtl w:val="true"/>
        </w:rPr>
        <w:t>&lt;</w:t>
      </w:r>
      <w:r>
        <w:rPr>
          <w:rFonts w:cs="Arial" w:ascii="Calibri" w:hAnsi="Calibri"/>
          <w:sz w:val="6"/>
          <w:szCs w:val="6"/>
        </w:rPr>
        <w:t>#7#</w:t>
      </w:r>
      <w:r>
        <w:rPr>
          <w:rFonts w:cs="Arial" w:ascii="Calibri" w:hAnsi="Calibri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תמוז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01/07/2021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ענת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חולתא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סגנית הנשיא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bookmarkStart w:id="15" w:name="Nitan"/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 תמוז תשפ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01/07/2021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  <w:bookmarkEnd w:id="15"/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ענת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חולתא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סגנית הנשיא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אלינור</w:t>
      </w:r>
      <w:r>
        <w:rPr>
          <w:rtl w:val="true"/>
        </w:rPr>
        <w:t xml:space="preserve"> </w:t>
      </w:r>
      <w:r>
        <w:rPr>
          <w:rtl w:val="true"/>
        </w:rPr>
        <w:t>בסטקר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ענת חולתא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22024-02-21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מדינת ישראל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המחלקה לחקירות שוטרים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אלחנן טויטו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2024-02-21"/>
    <w:docVar w:name="caseId" w:val="78102240"/>
    <w:docVar w:name="deriveClass" w:val="NGCS.Protocol.BL.Client.ProtocolBLClientCriminal"/>
    <w:docVar w:name="firstPageNumber" w:val="4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כולם"/>
    <w:docVar w:name="privellegeId" w:val="1"/>
    <w:docVar w:name="protocolId" w:val="11656786"/>
    <w:docVar w:name="releaseSign" w:val="0"/>
    <w:docVar w:name="sittingDateTime" w:val="01/07/2021 11:00     "/>
    <w:docVar w:name="sittingId" w:val="91193887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Times New Roman" w:cs="Times New Roman"/>
      <w:i/>
      <w:iCs/>
      <w:color w:val="365F9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6z0">
    <w:name w:val="WW8Num16z0"/>
    <w:qFormat/>
    <w:rPr/>
  </w:style>
  <w:style w:type="character" w:styleId="WW8Num18z0">
    <w:name w:val="WW8Num18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5">
    <w:name w:val="טקסט מציין מיקום"/>
    <w:qFormat/>
    <w:rPr>
      <w:color w:val="808080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HTMLPreformattedChar">
    <w:name w:val="HTML Preformatted Char"/>
    <w:qFormat/>
    <w:rPr>
      <w:rFonts w:ascii="Consolas" w:hAnsi="Consolas" w:cs="Consolas"/>
    </w:rPr>
  </w:style>
  <w:style w:type="character" w:styleId="Hyperlink">
    <w:name w:val="Hyperlink"/>
    <w:rPr>
      <w:color w:val="0000FF"/>
      <w:u w:val="single"/>
    </w:rPr>
  </w:style>
  <w:style w:type="character" w:styleId="SalutationChar">
    <w:name w:val="Salutation Char"/>
    <w:qFormat/>
    <w:rPr>
      <w:sz w:val="24"/>
      <w:szCs w:val="24"/>
    </w:rPr>
  </w:style>
  <w:style w:type="character" w:styleId="BodyTextChar">
    <w:name w:val="Body Text Char"/>
    <w:qFormat/>
    <w:rPr>
      <w:sz w:val="24"/>
      <w:szCs w:val="24"/>
    </w:rPr>
  </w:style>
  <w:style w:type="character" w:styleId="BodyText2Char">
    <w:name w:val="Body Text 2 Char"/>
    <w:qFormat/>
    <w:rPr>
      <w:sz w:val="24"/>
      <w:szCs w:val="24"/>
    </w:rPr>
  </w:style>
  <w:style w:type="character" w:styleId="BodyText3Char">
    <w:name w:val="Body Text 3 Char"/>
    <w:qFormat/>
    <w:rPr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yle6">
    <w:name w:val="הדגשה חזקה"/>
    <w:qFormat/>
    <w:rPr>
      <w:i/>
      <w:iCs/>
      <w:color w:val="4F81BD"/>
    </w:rPr>
  </w:style>
  <w:style w:type="character" w:styleId="Style7">
    <w:name w:val="הדגשה עדינה"/>
    <w:qFormat/>
    <w:rPr>
      <w:i/>
      <w:iCs/>
      <w:color w:val="404040"/>
    </w:rPr>
  </w:style>
  <w:style w:type="character" w:styleId="Style8">
    <w:name w:val="הפניה חזקה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9">
    <w:name w:val="הפניה עדינה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SignatureChar">
    <w:name w:val="Signature Char"/>
    <w:qFormat/>
    <w:rPr>
      <w:sz w:val="24"/>
      <w:szCs w:val="24"/>
    </w:rPr>
  </w:style>
  <w:style w:type="character" w:styleId="E-mailSignatureChar">
    <w:name w:val="E-mail Signature Char"/>
    <w:qFormat/>
    <w:rPr>
      <w:sz w:val="24"/>
      <w:szCs w:val="24"/>
    </w:rPr>
  </w:style>
  <w:style w:type="character" w:styleId="EndnoteTextChar">
    <w:name w:val="Endnote Text Char"/>
    <w:basedOn w:val="DefaultParagraphFont"/>
    <w:qFormat/>
    <w:rPr/>
  </w:style>
  <w:style w:type="character" w:styleId="FootnoteTextChar">
    <w:name w:val="Footnote Text Char"/>
    <w:basedOn w:val="DefaultParagraphFont"/>
    <w:qFormat/>
    <w:rPr/>
  </w:style>
  <w:style w:type="character" w:styleId="MacroTextChar">
    <w:name w:val="Macro Text Char"/>
    <w:qFormat/>
    <w:rPr>
      <w:rFonts w:ascii="Consolas" w:hAnsi="Consolas" w:cs="Consolas"/>
    </w:rPr>
  </w:style>
  <w:style w:type="character" w:styleId="PlainTextChar">
    <w:name w:val="Plain Text Char"/>
    <w:qFormat/>
    <w:rPr>
      <w:rFonts w:ascii="Consolas" w:hAnsi="Consolas" w:cs="Consolas"/>
      <w:sz w:val="21"/>
      <w:szCs w:val="21"/>
    </w:rPr>
  </w:style>
  <w:style w:type="character" w:styleId="Style10">
    <w:name w:val="כותר הספר"/>
    <w:qFormat/>
    <w:rPr>
      <w:b/>
      <w:bCs/>
      <w:i/>
      <w:iCs/>
      <w:spacing w:val="5"/>
    </w:rPr>
  </w:style>
  <w:style w:type="character" w:styleId="Heading4Char">
    <w:name w:val="Heading 4 Char"/>
    <w:qFormat/>
    <w:rPr>
      <w:rFonts w:ascii="Cambria" w:hAnsi="Cambria" w:eastAsia="Times New Roman" w:cs="Times New Roman"/>
      <w:i/>
      <w:iCs/>
      <w:color w:val="365F91"/>
      <w:sz w:val="24"/>
      <w:szCs w:val="24"/>
    </w:rPr>
  </w:style>
  <w:style w:type="character" w:styleId="Heading5Char">
    <w:name w:val="Heading 5 Char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Heading6Char">
    <w:name w:val="Heading 6 Char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Heading7Char">
    <w:name w:val="Heading 7 Char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Heading8Char">
    <w:name w:val="Heading 8 Char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NoteHeadingChar">
    <w:name w:val="Note Heading Char"/>
    <w:qFormat/>
    <w:rPr>
      <w:sz w:val="24"/>
      <w:szCs w:val="24"/>
    </w:rPr>
  </w:style>
  <w:style w:type="character" w:styleId="TitleChar">
    <w:name w:val="Title Char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SubtitleChar">
    <w:name w:val="Subtitle Char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MessageHeaderChar">
    <w:name w:val="Message Header Char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BodyTextIndentChar">
    <w:name w:val="Body Text Indent Char"/>
    <w:qFormat/>
    <w:rPr>
      <w:sz w:val="24"/>
      <w:szCs w:val="24"/>
    </w:rPr>
  </w:style>
  <w:style w:type="character" w:styleId="BodyTextIndent2Char">
    <w:name w:val="Body Text Indent 2 Char"/>
    <w:qFormat/>
    <w:rPr>
      <w:sz w:val="24"/>
      <w:szCs w:val="24"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BodyTextFirstIndentChar">
    <w:name w:val="Body Text First Indent Char"/>
    <w:qFormat/>
    <w:rPr>
      <w:sz w:val="24"/>
      <w:szCs w:val="24"/>
    </w:rPr>
  </w:style>
  <w:style w:type="character" w:styleId="BodyTextFirstIndent2Char">
    <w:name w:val="Body Text First Indent 2 Char"/>
    <w:qFormat/>
    <w:rPr>
      <w:sz w:val="24"/>
      <w:szCs w:val="24"/>
    </w:rPr>
  </w:style>
  <w:style w:type="character" w:styleId="HTMLAddressChar">
    <w:name w:val="HTML Address Char"/>
    <w:qFormat/>
    <w:rPr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</w:rPr>
  </w:style>
  <w:style w:type="character" w:styleId="CommentSubjectChar">
    <w:name w:val="Comment Subject Char"/>
    <w:qFormat/>
    <w:rPr>
      <w:rFonts w:ascii="Times New Roman" w:hAnsi="Times New Roman" w:eastAsia="Times New Roman" w:cs="Times New Roman"/>
      <w:b/>
      <w:bCs/>
    </w:rPr>
  </w:style>
  <w:style w:type="character" w:styleId="ClosingChar">
    <w:name w:val="Closing Char"/>
    <w:qFormat/>
    <w:rPr>
      <w:sz w:val="24"/>
      <w:szCs w:val="24"/>
    </w:rPr>
  </w:style>
  <w:style w:type="character" w:styleId="Style11">
    <w:name w:val="ציטוט תו"/>
    <w:qFormat/>
    <w:rPr>
      <w:i/>
      <w:iCs/>
      <w:color w:val="404040"/>
      <w:sz w:val="24"/>
      <w:szCs w:val="24"/>
    </w:rPr>
  </w:style>
  <w:style w:type="character" w:styleId="Style12">
    <w:name w:val="ציטוט חזק תו"/>
    <w:qFormat/>
    <w:rPr>
      <w:i/>
      <w:iCs/>
      <w:color w:val="4F81BD"/>
      <w:sz w:val="24"/>
      <w:szCs w:val="24"/>
    </w:rPr>
  </w:style>
  <w:style w:type="character" w:styleId="HTMLAcronym">
    <w:name w:val="HTML Acronym"/>
    <w:basedOn w:val="DefaultParagraphFont"/>
    <w:qFormat/>
    <w:rPr/>
  </w:style>
  <w:style w:type="character" w:styleId="DateChar">
    <w:name w:val="Date Char"/>
    <w:qFormat/>
    <w:rPr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Style13">
    <w:name w:val="ביבליוגרפיה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David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Style14">
    <w:name w:val="כותרת תוכן עניינים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mbria" w:hAnsi="Cambria" w:eastAsia="Times New Roman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Style15">
    <w:name w:val="ללא מרווח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ascii="David" w:hAnsi="David" w:eastAsia="David" w:cs="David"/>
      <w:b/>
      <w:bCs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Style16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7">
    <w:name w:val="ציטוט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8">
    <w:name w:val="ציטוט חזק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39225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82.b.1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82.b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2.c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82.b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82.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82.b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2.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82.b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82.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2022-01-20T11:13:00Z</dcterms:created>
  <dc:creator> </dc:creator>
  <dc:description/>
  <cp:keywords/>
  <dc:language>en-IL</dc:language>
  <cp:lastModifiedBy>h9</cp:lastModifiedBy>
  <cp:lastPrinted>2021-07-01T11:26:00Z</cp:lastPrinted>
  <dcterms:modified xsi:type="dcterms:W3CDTF">2022-01-20T11:13:00Z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המחלקה לחקירות שוטרים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אלחנן טויטו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27392255</vt:lpwstr>
  </property>
  <property fmtid="{D5CDD505-2E9C-101B-9397-08002B2CF9AE}" pid="9" name="CITY">
    <vt:lpwstr>ב"ש</vt:lpwstr>
  </property>
  <property fmtid="{D5CDD505-2E9C-101B-9397-08002B2CF9AE}" pid="10" name="DATE">
    <vt:lpwstr>20210701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ענת חולתא</vt:lpwstr>
  </property>
  <property fmtid="{D5CDD505-2E9C-101B-9397-08002B2CF9AE}" pid="14" name="LAWLISTTMP1">
    <vt:lpwstr>70301/192:2;382.b.1:4;382.c:4;144.a:2</vt:lpwstr>
  </property>
  <property fmtid="{D5CDD505-2E9C-101B-9397-08002B2CF9AE}" pid="15" name="LAWYER">
    <vt:lpwstr>הדס קליין;אלכס גאוסקין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22024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380020210701</vt:lpwstr>
  </property>
  <property fmtid="{D5CDD505-2E9C-101B-9397-08002B2CF9AE}" pid="34" name="TYPE_N_DATE">
    <vt:lpwstr>38020210701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