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22154-04-14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קציר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קציר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רז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7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על פי הודאתו בביצוע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הינו בעל עסק לשיווק מוצרים של חברת פלאפון והיה רשום כעוסק מורשה לעניין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הגיש במועד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שילם את המס הנובע מהדוחות האמורים ובכך נגרם נזק לקופת המדינה על סך של </w:t>
      </w:r>
      <w:r>
        <w:rPr>
          <w:rFonts w:cs="Arial" w:ascii="Arial" w:hAnsi="Arial"/>
        </w:rPr>
        <w:t>49,920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הגיש באיחור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לחודש 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הוגש באיחור של </w:t>
      </w:r>
      <w:r>
        <w:rPr>
          <w:rFonts w:cs="Arial" w:ascii="Arial" w:hAnsi="Arial"/>
        </w:rPr>
        <w:t>106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לאוקטובר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באיחור של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באיחור של 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באת כוח המאשימה טענה כי הנזק לקופת המדינה הוא על סך של </w:t>
      </w:r>
      <w:r>
        <w:rPr>
          <w:rFonts w:cs="Arial" w:ascii="Arial" w:hAnsi="Arial"/>
        </w:rPr>
        <w:t>49,920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והנאשם לא הסיר את המחדלים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באת כוח המאשימה טענה שמתחם העונש ההולם 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וקנס כספי שנע בין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וזאת בצירוף התחייבות להימנע מעבירה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אין עבר פלילי קודם בתחום עבירות המס וכי בעבר הוטל עליו קנס מנהלי אחד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המאשימה עתרה לעונש שמציב את הנאשם במרכז המתחמים שצוינו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כוח הנאשם הדגיש את העובדה שלנאשם אין עבר פלילי וכיום הוכרז כפושט רגל ומונה עבורו כונס נכסים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צבר חובות של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217,000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עסקו של הנאשם קרס ועקב כך לא הוגשו הדוחות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מתגורר בבית הוריו ואף שיתף פעולה בחקירה ומתקיים היום מעבודות בתחום הניקיון ושכרו עומד על סך של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 הנאשם עתר לעונש של מאסר על תנאי מבלי שיוטל עליו קנס כספי וזאת עקב מצבו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וככל שיוטל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שהדבר יהיה מותאם למצבו הכלכלי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במקרה שבפני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של </w:t>
      </w:r>
      <w:r>
        <w:rPr>
          <w:rFonts w:cs="Arial" w:ascii="Arial" w:hAnsi="Arial"/>
        </w:rPr>
        <w:t>49,920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לא הוגשו עקב קריסה כלכלית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יכולה להוות נימוק לאי הגשת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להקלה בעונש </w:t>
      </w:r>
      <w:r>
        <w:rPr>
          <w:rFonts w:cs="Arial" w:ascii="Arial" w:hAnsi="Arial"/>
          <w:rtl w:val="true"/>
        </w:rPr>
        <w:t>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9.3.14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של כבוד השופט שוהם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אביא דוגמאות מהפסיקה לגבי מתחמי העונש שנקבעו במקרים דומים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24241-12-14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53360-10-13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עניינו של המערער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הורשע בביצוען של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המחדל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24,150</w:t>
      </w:r>
      <w:r>
        <w:rPr>
          <w:rFonts w:cs="Arial" w:ascii="Arial" w:hAnsi="Arial"/>
          <w:u w:val="single"/>
          <w:rtl w:val="true"/>
        </w:rPr>
        <w:t xml:space="preserve"> ₪, </w:t>
      </w:r>
      <w:r>
        <w:rPr>
          <w:rFonts w:ascii="Arial" w:hAnsi="Arial" w:cs="Arial"/>
          <w:u w:val="single"/>
          <w:rtl w:val="true"/>
        </w:rPr>
        <w:t xml:space="preserve">בעוד שהחוב מקנסות עמד על </w:t>
      </w:r>
      <w:r>
        <w:rPr>
          <w:rFonts w:cs="Arial" w:ascii="Arial" w:hAnsi="Arial"/>
          <w:u w:val="single"/>
        </w:rPr>
        <w:t>65,211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והחוב מריבית היה </w:t>
      </w:r>
      <w:r>
        <w:rPr>
          <w:rFonts w:cs="Arial" w:ascii="Arial" w:hAnsi="Arial"/>
          <w:u w:val="single"/>
        </w:rPr>
        <w:t>7,697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באותו עניין קבעתי כי מתחם העונש ההולם 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וקנס כספי שנע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20,000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בסופו של יום הושתו על המערער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של המערער לבית המשפט המחוזי במחוז מרכז לגבי עונש המאסר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שהקנס הופחת </w:t>
      </w:r>
      <w:r>
        <w:rPr>
          <w:rFonts w:ascii="Arial" w:hAnsi="Arial" w:cs="Arial"/>
          <w:u w:val="single"/>
          <w:rtl w:val="true"/>
        </w:rPr>
        <w:t xml:space="preserve">לסך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Arial" w:ascii="Arial" w:hAnsi="Arial"/>
            <w:color w:val="0000FF"/>
            <w:u w:val="single"/>
          </w:rPr>
          <w:t>51920-12-14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מוסקוביץ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רמלה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15.3.15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עניינם של המערערים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הורשעו בביצוע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117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סכום המחדל המקורי עמד על סך של </w:t>
      </w:r>
      <w:r>
        <w:rPr>
          <w:rFonts w:cs="Arial" w:ascii="Arial" w:hAnsi="Arial"/>
          <w:u w:val="single"/>
        </w:rPr>
        <w:t>113,000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והמחדל הוסר באופן חלקי כך שנותרה קרן מס בסך של </w:t>
      </w:r>
      <w:r>
        <w:rPr>
          <w:rFonts w:cs="Arial" w:ascii="Arial" w:hAnsi="Arial"/>
          <w:u w:val="single"/>
        </w:rPr>
        <w:t>54,142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לא הצליחו להסיר את יתרת המחדל עקב קשיים כלכלים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קבעתי כי מתחם העונש ההולם נע בין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והקנס נע בין </w:t>
      </w:r>
      <w:r>
        <w:rPr>
          <w:rFonts w:cs="Arial" w:ascii="Arial" w:hAnsi="Arial"/>
          <w:u w:val="single"/>
        </w:rPr>
        <w:t>7,000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שהמאשימה טענה שמתחם העונש ההולם מתחיל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הנאשמים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הליך הערעור נטען שהמחדל הוסר באופן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הערעור התקבל בכך שעונש המאסר בפועל הופחת </w:t>
      </w:r>
      <w:r>
        <w:rPr>
          <w:rFonts w:ascii="Arial" w:hAnsi="Arial" w:cs="Arial"/>
          <w:u w:val="single"/>
          <w:rtl w:val="true"/>
        </w:rPr>
        <w:t>לחודשיים שירוצו בדרך של עבודות שירות ורכיב הקנס נותר בעינו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העונש ההולם למכלול העבירות שבוצעו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הנאשם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ומתחם הקנס ההולם נע בין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וזאת כאשר אני לוקח בחשבון את מצבו הכלכלי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הסרת המחדלים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 </w:t>
      </w:r>
      <w:r>
        <w:rPr>
          <w:rFonts w:cs="Arial" w:ascii="Arial" w:hAnsi="Arial"/>
        </w:rPr>
        <w:t>3.4.16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 במפקדת מחוז מרכז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 לתחילת ריצוי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רטורנו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גבעת שמש </w:t>
      </w:r>
      <w:r>
        <w:rPr>
          <w:rFonts w:cs="Arial" w:ascii="Arial" w:hAnsi="Arial"/>
        </w:rPr>
        <w:t>815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שמש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22154-04-14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רועי קציר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case/13055117" TargetMode="External"/><Relationship Id="rId8" Type="http://schemas.openxmlformats.org/officeDocument/2006/relationships/hyperlink" Target="http://www.nevo.co.il/case/18726121" TargetMode="External"/><Relationship Id="rId9" Type="http://schemas.openxmlformats.org/officeDocument/2006/relationships/hyperlink" Target="http://www.nevo.co.il/case/8465863" TargetMode="External"/><Relationship Id="rId10" Type="http://schemas.openxmlformats.org/officeDocument/2006/relationships/hyperlink" Target="http://www.nevo.co.il/law/72813/117.a.6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case/18758030" TargetMode="External"/><Relationship Id="rId13" Type="http://schemas.openxmlformats.org/officeDocument/2006/relationships/hyperlink" Target="http://www.nevo.co.il/law/72813/117.a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2022-07-28T08:57:00Z</dcterms:created>
  <dc:creator> </dc:creator>
  <dc:description/>
  <cp:keywords/>
  <dc:language>en-IL</dc:language>
  <cp:lastModifiedBy>h1</cp:lastModifiedBy>
  <dcterms:modified xsi:type="dcterms:W3CDTF">2022-07-28T08:57:00Z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EE">
    <vt:lpwstr>רועי קציר</vt:lpwstr>
  </property>
  <property fmtid="{D5CDD505-2E9C-101B-9397-08002B2CF9AE}" pid="4" name="CASESLISTTMP1">
    <vt:lpwstr>13055117;18726121;8465863;18758030</vt:lpwstr>
  </property>
  <property fmtid="{D5CDD505-2E9C-101B-9397-08002B2CF9AE}" pid="5" name="CITY">
    <vt:lpwstr>רמ'</vt:lpwstr>
  </property>
  <property fmtid="{D5CDD505-2E9C-101B-9397-08002B2CF9AE}" pid="6" name="DATE">
    <vt:lpwstr>20160328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72813/117.a.6:3</vt:lpwstr>
  </property>
  <property fmtid="{D5CDD505-2E9C-101B-9397-08002B2CF9AE}" pid="10" name="LAWYER">
    <vt:lpwstr>מירב יולי;עדי רז</vt:lpwstr>
  </property>
  <property fmtid="{D5CDD505-2E9C-101B-9397-08002B2CF9AE}" pid="11" name="NEWPARTA">
    <vt:lpwstr>22154</vt:lpwstr>
  </property>
  <property fmtid="{D5CDD505-2E9C-101B-9397-08002B2CF9AE}" pid="12" name="NEWPARTB">
    <vt:lpwstr>04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380020160328</vt:lpwstr>
  </property>
  <property fmtid="{D5CDD505-2E9C-101B-9397-08002B2CF9AE}" pid="18" name="TYPE_N_DATE">
    <vt:lpwstr>38020160328</vt:lpwstr>
  </property>
  <property fmtid="{D5CDD505-2E9C-101B-9397-08002B2CF9AE}" pid="19" name="WORDNUMPAGES">
    <vt:lpwstr>4</vt:lpwstr>
  </property>
</Properties>
</file>