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22297-11-20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עובייד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798202/2020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רדקין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עאהד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נעים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עובייד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מהין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נעים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עובייד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טרבלסי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כא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bidi w:val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הנאשמים שלפני נותנים את הדין בגין העבירות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 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tl w:val="true"/>
        </w:rPr>
        <w:t>);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החזקת סמים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16"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–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החזקת </w:t>
      </w:r>
      <w:r>
        <w:rPr>
          <w:rFonts w:ascii="Arial" w:hAnsi="Arial" w:cs="Arial"/>
          <w:rtl w:val="true"/>
        </w:rPr>
        <w:t>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סעיף </w:t>
      </w:r>
      <w:hyperlink r:id="rId18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לעובדות כתב האישום המתוקן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כא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הנאשמים הינם אחים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המתגוררים בבית מפוצל בשכונה </w:t>
      </w: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ברהט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מתגורר בקומה השלישית ואילו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מתגורר בקומה השניה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בני משפחה נוספים מתגוררים בקומת הקרקע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הבית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29.10.20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פעילות משטרתית יזומה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נערך חיפוש בבית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אותרו בקומה 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מתגורר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חלקי נשק ותחמושת כמפורט 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נשק דמוי רובה סער מסוג </w:t>
      </w:r>
      <w:r>
        <w:rPr>
          <w:rFonts w:cs="David" w:ascii="David" w:hAnsi="David"/>
        </w:rPr>
        <w:t>M-16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מפורק לשניים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שיורה ובכוחו להמית אדם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מחסנית ובתוכה כדור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מחסנית עם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שלושה 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בתפזורת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קופסה ובה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חלק מנשק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תריס של </w:t>
      </w:r>
      <w:r>
        <w:rPr>
          <w:rFonts w:cs="David" w:ascii="David" w:hAnsi="David"/>
        </w:rPr>
        <w:t>M-16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שתי קופסאות של כדורים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בתוך כל אחת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ובסך הכל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בשתי הקופסאות יחדיו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נתפסו סמים מסוג קנבוס במשקל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השייכים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נתפסו בקומה השניה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מתגורר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מסוג </w:t>
      </w:r>
      <w:r>
        <w:rPr>
          <w:rFonts w:cs="Arial" w:ascii="Arial" w:hAnsi="Arial"/>
        </w:rPr>
        <w:t>7.62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ברכב מסוג טויוטה קורולה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7648063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השייך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מסוג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בין הצדדים נקשר הסדר טיעון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במסגרתו תוקן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הורשעו על פי הודאתם בעובדות ובעבירות שבכתב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והתביעה חזרה בה מאישום נגד נאשמת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שהועמדה לדין בכתב האישום המקורי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לא כלל הסכמה עונשית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לפיו המאסר המותנה שיושת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יכלול גם עבירות נגד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מסוג עוון והן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מכאן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גזר דין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התביעה</w:t>
      </w:r>
      <w:r>
        <w:rPr>
          <w:rFonts w:ascii="Arial" w:hAnsi="Arial" w:cs="Arial"/>
          <w:rtl w:val="true"/>
        </w:rPr>
        <w:t xml:space="preserve"> הגישה ראיות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גליון הרשעות קודמות פלילי לנאשם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2</w:t>
      </w:r>
      <w:r>
        <w:rPr>
          <w:rFonts w:ascii="A028 Extrabold;Times New Roman" w:hAnsi="A028 Extrabold;Times New Roman" w:cs="A028 Extrabold;Times New Roman"/>
          <w:rtl w:val="true"/>
        </w:rPr>
        <w:t>א</w:t>
      </w:r>
      <w:r>
        <w:rPr>
          <w:rFonts w:cs="A028 Extrabold;Times New Roman" w:ascii="A028 Extrabold;Times New Roman" w:hAnsi="A028 Extrabold;Times New Roman"/>
          <w:rtl w:val="true"/>
        </w:rPr>
        <w:t xml:space="preserve">') </w:t>
      </w:r>
      <w:r>
        <w:rPr>
          <w:rFonts w:cs="A028 Extrabold;Times New Roman" w:ascii="A028 Extrabold;Times New Roman" w:hAnsi="A028 Extrabold;Times New Roman"/>
          <w:rtl w:val="true"/>
        </w:rPr>
        <w:t>–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לחובת הנאשם הרשעה מיום </w:t>
      </w:r>
      <w:r>
        <w:rPr>
          <w:rFonts w:cs="A028 Extrabold;Times New Roman" w:ascii="A028 Extrabold;Times New Roman" w:hAnsi="A028 Extrabold;Times New Roman"/>
        </w:rPr>
        <w:t>15.01.18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בעבירת תקיפה בצוותא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גליון הרשעות קודמות תעבורתי לנאשם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2</w:t>
      </w:r>
      <w:r>
        <w:rPr>
          <w:rFonts w:ascii="A028 Extrabold;Times New Roman" w:hAnsi="A028 Extrabold;Times New Roman" w:cs="A028 Extrabold;Times New Roman"/>
          <w:rtl w:val="true"/>
        </w:rPr>
        <w:t>ב</w:t>
      </w:r>
      <w:r>
        <w:rPr>
          <w:rFonts w:cs="A028 Extrabold;Times New Roman" w:ascii="A028 Extrabold;Times New Roman" w:hAnsi="A028 Extrabold;Times New Roman"/>
          <w:rtl w:val="true"/>
        </w:rPr>
        <w:t xml:space="preserve">') </w:t>
      </w:r>
      <w:r>
        <w:rPr>
          <w:rFonts w:cs="A028 Extrabold;Times New Roman" w:ascii="A028 Extrabold;Times New Roman" w:hAnsi="A028 Extrabold;Times New Roman"/>
          <w:rtl w:val="true"/>
        </w:rPr>
        <w:t>–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לחובת הנאשם הרשעות תעבורתיות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שאינן מן העניין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הכרעת דין וגזר דין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hyperlink r:id="rId20">
        <w:r>
          <w:rPr>
            <w:rStyle w:val="Hyperlink"/>
            <w:rFonts w:ascii="A028 Extrabold;Times New Roman" w:hAnsi="A028 Extrabold;Times New Roman" w:cs="A028 Extrabold;Times New Roman"/>
            <w:color w:val="0000FF"/>
            <w:u w:val="single"/>
            <w:rtl w:val="true"/>
          </w:rPr>
          <w:t>ת</w:t>
        </w:r>
        <w:r>
          <w:rPr>
            <w:rStyle w:val="Hyperlink"/>
            <w:rFonts w:cs="A028 Extrabold;Times New Roman" w:ascii="A028 Extrabold;Times New Roman" w:hAnsi="A028 Extrabold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028 Extrabold;Times New Roman" w:hAnsi="A028 Extrabold;Times New Roman" w:cs="A028 Extrabold;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028 Extrabold;Times New Roman" w:hAnsi="A028 Extrabold;Times New Roman" w:cs="A028 Extrabold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028 Extrabold;Times New Roman" w:ascii="A028 Extrabold;Times New Roman" w:hAnsi="A028 Extrabold;Times New Roman"/>
            <w:color w:val="0000FF"/>
            <w:u w:val="single"/>
          </w:rPr>
          <w:t>10876-10-17</w:t>
        </w:r>
      </w:hyperlink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מיום </w:t>
      </w:r>
      <w:r>
        <w:rPr>
          <w:rFonts w:cs="A028 Extrabold;Times New Roman" w:ascii="A028 Extrabold;Times New Roman" w:hAnsi="A028 Extrabold;Times New Roman"/>
        </w:rPr>
        <w:t>15.01.18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בנוגע לנאשם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3</w:t>
      </w:r>
      <w:r>
        <w:rPr>
          <w:rFonts w:cs="A028 Extrabold;Times New Roman" w:ascii="A028 Extrabold;Times New Roman" w:hAnsi="A028 Extrabold;Times New Roman"/>
          <w:rtl w:val="true"/>
        </w:rPr>
        <w:t xml:space="preserve">) </w:t>
      </w:r>
      <w:r>
        <w:rPr>
          <w:rFonts w:cs="A028 Extrabold;Times New Roman" w:ascii="A028 Extrabold;Times New Roman" w:hAnsi="A028 Extrabold;Times New Roman"/>
          <w:rtl w:val="true"/>
        </w:rPr>
        <w:t>–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הנאשם הורשע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במסגרת הסדר טיעון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ביום </w:t>
      </w:r>
      <w:r>
        <w:rPr>
          <w:rFonts w:cs="A028 Extrabold;Times New Roman" w:ascii="A028 Extrabold;Times New Roman" w:hAnsi="A028 Extrabold;Times New Roman"/>
        </w:rPr>
        <w:t>15.01.18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בעבירה של תקיפה בנסיבות מחמירות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ע</w:t>
      </w:r>
      <w:r>
        <w:rPr>
          <w:rFonts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cs="A028 Extrabold;Times New Roman"/>
          <w:rtl w:val="true"/>
        </w:rPr>
        <w:t>י שניים או יותר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במסגרת ההסדר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שכלל הסכמה עונשית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נגזרו עליו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cs="A028 Extrabold;Times New Roman" w:ascii="A028 Extrabold;Times New Roman" w:hAnsi="A028 Extrabold;Times New Roman"/>
        </w:rPr>
        <w:t>6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בפועל בניכוי ימי מעצרו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cs="A028 Extrabold;Times New Roman" w:ascii="A028 Extrabold;Times New Roman" w:hAnsi="A028 Extrabold;Times New Roman"/>
        </w:rPr>
        <w:t>8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חודשי מאסר על תנאי למשך </w:t>
      </w:r>
      <w:r>
        <w:rPr>
          <w:rFonts w:cs="A028 Extrabold;Times New Roman" w:ascii="A028 Extrabold;Times New Roman" w:hAnsi="A028 Extrabold;Times New Roman"/>
        </w:rPr>
        <w:t>3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שנים מיום שחרורו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שלא יעבור כל עבירת אלימות מסוג פשע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cs="A028 Extrabold;Times New Roman" w:ascii="A028 Extrabold;Times New Roman" w:hAnsi="A028 Extrabold;Times New Roman"/>
        </w:rPr>
        <w:t>5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חודשי מאסר על תנאי למשך </w:t>
      </w:r>
      <w:r>
        <w:rPr>
          <w:rFonts w:cs="A028 Extrabold;Times New Roman" w:ascii="A028 Extrabold;Times New Roman" w:hAnsi="A028 Extrabold;Times New Roman"/>
        </w:rPr>
        <w:t>3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שנים מיום שחרורו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שלא יעבור כל עבירת אלימות מסוג עוון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 xml:space="preserve">קנס בסך </w:t>
      </w:r>
      <w:r>
        <w:rPr>
          <w:rFonts w:cs="A028 Extrabold;Times New Roman" w:ascii="A028 Extrabold;Times New Roman" w:hAnsi="A028 Extrabold;Times New Roman"/>
        </w:rPr>
        <w:t>2,000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 xml:space="preserve">התחייבות בסך </w:t>
      </w:r>
      <w:r>
        <w:rPr>
          <w:rFonts w:cs="A028 Extrabold;Times New Roman" w:ascii="A028 Extrabold;Times New Roman" w:hAnsi="A028 Extrabold;Times New Roman"/>
        </w:rPr>
        <w:t>4,000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שלא יעבור כל עבירת אלימות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למשך שנתיים מיום שחרורו ממאסר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גליון הרשעות קודמות פלילי לנאשם </w:t>
      </w:r>
      <w:r>
        <w:rPr>
          <w:rFonts w:cs="A028 Extrabold;Times New Roman" w:ascii="A028 Extrabold;Times New Roman" w:hAnsi="A028 Extrabold;Times New Roman"/>
        </w:rPr>
        <w:t>2</w:t>
      </w:r>
      <w:r>
        <w:rPr>
          <w:rFonts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4</w:t>
      </w:r>
      <w:r>
        <w:rPr>
          <w:rFonts w:ascii="A028 Extrabold;Times New Roman" w:hAnsi="A028 Extrabold;Times New Roman" w:cs="A028 Extrabold;Times New Roman"/>
          <w:rtl w:val="true"/>
        </w:rPr>
        <w:t>א</w:t>
      </w:r>
      <w:r>
        <w:rPr>
          <w:rFonts w:cs="A028 Extrabold;Times New Roman" w:ascii="A028 Extrabold;Times New Roman" w:hAnsi="A028 Extrabold;Times New Roman"/>
          <w:rtl w:val="true"/>
        </w:rPr>
        <w:t xml:space="preserve">') </w:t>
      </w:r>
      <w:r>
        <w:rPr>
          <w:rFonts w:cs="A028 Extrabold;Times New Roman" w:ascii="A028 Extrabold;Times New Roman" w:hAnsi="A028 Extrabold;Times New Roman"/>
          <w:rtl w:val="true"/>
        </w:rPr>
        <w:t>–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לחובת הנאשם הרשעות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בעבירות סמים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מין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נשק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אלימות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אם כי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אין לחובתו הרשעות מהתקופה האחרונה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גליון הרשעות קודמות תעבורתי לנאשם </w:t>
      </w:r>
      <w:r>
        <w:rPr>
          <w:rFonts w:cs="A028 Extrabold;Times New Roman" w:ascii="A028 Extrabold;Times New Roman" w:hAnsi="A028 Extrabold;Times New Roman"/>
        </w:rPr>
        <w:t>2</w:t>
      </w:r>
      <w:r>
        <w:rPr>
          <w:rFonts w:cs="A028 Extrabold;Times New Roman" w:ascii="A028 Extrabold;Times New Roman" w:hAnsi="A028 Extrabold;Times New Roman"/>
          <w:rtl w:val="true"/>
        </w:rPr>
        <w:t xml:space="preserve"> 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4</w:t>
      </w:r>
      <w:r>
        <w:rPr>
          <w:rFonts w:ascii="A028 Extrabold;Times New Roman" w:hAnsi="A028 Extrabold;Times New Roman" w:cs="A028 Extrabold;Times New Roman"/>
          <w:rtl w:val="true"/>
        </w:rPr>
        <w:t>ב</w:t>
      </w:r>
      <w:r>
        <w:rPr>
          <w:rFonts w:cs="A028 Extrabold;Times New Roman" w:ascii="A028 Extrabold;Times New Roman" w:hAnsi="A028 Extrabold;Times New Roman"/>
          <w:rtl w:val="true"/>
        </w:rPr>
        <w:t xml:space="preserve">') </w:t>
      </w:r>
      <w:r>
        <w:rPr>
          <w:rFonts w:cs="A028 Extrabold;Times New Roman" w:ascii="A028 Extrabold;Times New Roman" w:hAnsi="A028 Extrabold;Times New Roman"/>
          <w:rtl w:val="true"/>
        </w:rPr>
        <w:t>–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לחובת הנאשם הרשעות תעבורתיות שאינן מן העניין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>ההגנה</w:t>
      </w:r>
      <w:r>
        <w:rPr>
          <w:rFonts w:ascii="A028 Extrabold;Times New Roman" w:hAnsi="A028 Extrabold;Times New Roman" w:cs="A028 Extrabold;Times New Roman"/>
          <w:rtl w:val="true"/>
        </w:rPr>
        <w:t xml:space="preserve"> לא הגישה ראיות לענין העונש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אך ביקשה להעיד שני עדי אופי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מר באהר נעים עובייד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אחיהם של הנאשמים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ומר נעים עובייד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אביהם של הנאשמים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>עדותו של מר באהר נעים עובייד</w:t>
      </w:r>
      <w:r>
        <w:rPr>
          <w:rFonts w:ascii="A028 Extrabold;Times New Roman" w:hAnsi="A028 Extrabold;Times New Roman" w:cs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–</w:t>
      </w:r>
      <w:r>
        <w:rPr>
          <w:rFonts w:ascii="A028 Extrabold;Times New Roman" w:hAnsi="A028 Extrabold;Times New Roman" w:cs="A028 Extrabold;Times New Roman"/>
          <w:rtl w:val="true"/>
        </w:rPr>
        <w:t xml:space="preserve"> אחיהם הצעיר של הנאשמים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שירת בצבא בחטמ</w:t>
      </w:r>
      <w:r>
        <w:rPr>
          <w:rFonts w:cs="A028 Extrabold;Times New Roman" w:ascii="A028 Extrabold;Times New Roman" w:hAnsi="A028 Extrabold;Times New Roman"/>
          <w:rtl w:val="true"/>
        </w:rPr>
        <w:t>"</w:t>
      </w:r>
      <w:r>
        <w:rPr>
          <w:rFonts w:ascii="A028 Extrabold;Times New Roman" w:hAnsi="A028 Extrabold;Times New Roman" w:cs="A028 Extrabold;Times New Roman"/>
          <w:rtl w:val="true"/>
        </w:rPr>
        <w:t xml:space="preserve">ר ערבה </w:t>
      </w:r>
      <w:r>
        <w:rPr>
          <w:rFonts w:cs="A028 Extrabold;Times New Roman" w:ascii="A028 Extrabold;Times New Roman" w:hAnsi="A028 Extrabold;Times New Roman"/>
        </w:rPr>
        <w:t>406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וסיפר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אביהם שירת אף הוא בצבא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לדבריו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גם הנאשמים חפצו לשרת בצבא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העד סיפר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כי הוא מנהל כעת את העסק של 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שטיפת רכבים ברהט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והוא סטודנט במכללה להנדסה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בחקירתו החוזרת סיפר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לא ידע אודות הסתבכויותיהם הקודמות של אחיו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הנאשמים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ולא ידע אודות הנשק בבית</w:t>
      </w:r>
      <w:r>
        <w:rPr>
          <w:rFonts w:cs="A028 Extrabold;Times New Roman" w:ascii="A028 Extrabold;Times New Roman" w:hAnsi="A028 Extrabold;Times New Roman"/>
          <w:rtl w:val="true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>עדותו של מר נעים עובייד</w:t>
      </w:r>
      <w:r>
        <w:rPr>
          <w:rFonts w:ascii="A028 Extrabold;Times New Roman" w:hAnsi="A028 Extrabold;Times New Roman" w:cs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–</w:t>
      </w:r>
      <w:r>
        <w:rPr>
          <w:rFonts w:ascii="A028 Extrabold;Times New Roman" w:hAnsi="A028 Extrabold;Times New Roman" w:cs="A028 Extrabold;Times New Roman"/>
          <w:rtl w:val="true"/>
        </w:rPr>
        <w:t xml:space="preserve"> העד הוא אביהם של הנאשמים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העד מסר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לא היה בידיעתו שהנאשמים החזיקו בנשק ותחמושת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ואם היה יודע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היה מדווח למשטרה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לדבריו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כאשר הובא לידיעתו שאחד מבניו מחזיק בסמים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הוא דיווח למשטרה בעצמו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העד שיתף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בעבר התנדב במשטרה ואף שירת בצבא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העד גינה את העבירות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>התביעה</w:t>
      </w:r>
      <w:r>
        <w:rPr>
          <w:rFonts w:ascii="A028 Extrabold;Times New Roman" w:hAnsi="A028 Extrabold;Times New Roman" w:cs="A028 Extrabold;Times New Roman"/>
          <w:rtl w:val="true"/>
        </w:rPr>
        <w:t xml:space="preserve"> הגישה טיעוניה לעונש בכתב </w:t>
      </w:r>
      <w:r>
        <w:rPr>
          <w:rFonts w:cs="A028 Extrabold;Times New Roman" w:ascii="A028 Extrabold;Times New Roman" w:hAnsi="A028 Extrabold;Times New Roman"/>
          <w:rtl w:val="true"/>
        </w:rPr>
        <w:t>(</w:t>
      </w:r>
      <w:r>
        <w:rPr>
          <w:rFonts w:ascii="A028 Extrabold;Times New Roman" w:hAnsi="A028 Extrabold;Times New Roman" w:cs="A028 Extrabold;Times New Roman"/>
          <w:rtl w:val="true"/>
        </w:rPr>
        <w:t>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5</w:t>
      </w:r>
      <w:r>
        <w:rPr>
          <w:rFonts w:cs="A028 Extrabold;Times New Roman" w:ascii="A028 Extrabold;Times New Roman" w:hAnsi="A028 Extrabold;Times New Roman"/>
          <w:rtl w:val="true"/>
        </w:rPr>
        <w:t xml:space="preserve">) </w:t>
      </w:r>
      <w:r>
        <w:rPr>
          <w:rFonts w:ascii="A028 Extrabold;Times New Roman" w:hAnsi="A028 Extrabold;Times New Roman" w:cs="A028 Extrabold;Times New Roman"/>
          <w:rtl w:val="true"/>
        </w:rPr>
        <w:t>והשלימה אותן על פה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התביעה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מעשיהם של הנאשמים פגעו בערכים המוגנים של שלום הציבור ובטחונו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והיו בעלי פוטנציאל לפגיעה בגוף ובנפש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כלי נשק המוחזקים באופן בלתי חוקי מגיעים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לא פעם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לשימוש זדוני ואף עלולים לשמש לפגיעה בבטחון המדינה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התביעה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החזקת נשק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תחמושת וסמים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בבית בו נמצאים גם קטינים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מעצימה את הסיכון כתוצאה מהחזקת כלי הנשק ואף מהחזקת הסמים המסוכנים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התביעה הפנתה לעברם הפלילי של הנאשמים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 xml:space="preserve">לעניין הנאשם </w:t>
      </w:r>
      <w:r>
        <w:rPr>
          <w:rFonts w:cs="A028 Extrabold;Times New Roman" w:ascii="A028 Extrabold;Times New Roman" w:hAnsi="A028 Extrabold;Times New Roman"/>
          <w:u w:val="single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עתרה התביעה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ביחס לעבירות של החזקת נשק ותחמושת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למתחם ענישה הנע בין </w:t>
      </w:r>
      <w:r>
        <w:rPr>
          <w:rFonts w:cs="A028 Extrabold;Times New Roman" w:ascii="A028 Extrabold;Times New Roman" w:hAnsi="A028 Extrabold;Times New Roman"/>
        </w:rPr>
        <w:t>30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עד </w:t>
      </w:r>
      <w:r>
        <w:rPr>
          <w:rFonts w:cs="A028 Extrabold;Times New Roman" w:ascii="A028 Extrabold;Times New Roman" w:hAnsi="A028 Extrabold;Times New Roman"/>
        </w:rPr>
        <w:t>55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בפועל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ביחס לעבירה של החזקת סם לצריכה עצמית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עתרה התביעה ל</w:t>
      </w:r>
      <w:r>
        <w:rPr>
          <w:rFonts w:cs="A028 Extrabold;Times New Roman" w:ascii="A028 Extrabold;Times New Roman" w:hAnsi="A028 Extrabold;Times New Roman"/>
          <w:rtl w:val="true"/>
        </w:rPr>
        <w:t>-</w:t>
      </w:r>
      <w:r>
        <w:rPr>
          <w:rFonts w:cs="A028 Extrabold;Times New Roman" w:ascii="A028 Extrabold;Times New Roman" w:hAnsi="A028 Extrabold;Times New Roman"/>
        </w:rPr>
        <w:t>6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בפועל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התביעה עתרה למתחם כולל הנע בין </w:t>
      </w:r>
      <w:r>
        <w:rPr>
          <w:rFonts w:cs="A028 Extrabold;Times New Roman" w:ascii="A028 Extrabold;Times New Roman" w:hAnsi="A028 Extrabold;Times New Roman"/>
        </w:rPr>
        <w:t>36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עד </w:t>
      </w:r>
      <w:r>
        <w:rPr>
          <w:rFonts w:cs="A028 Extrabold;Times New Roman" w:ascii="A028 Extrabold;Times New Roman" w:hAnsi="A028 Extrabold;Times New Roman"/>
        </w:rPr>
        <w:t>55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בפועל בגין כלל העבירות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בנוסף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ביקשה התביעה להטיל על הנאשם מאסר על תנאי בעבירות סמים ונשק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קנס</w:t>
      </w:r>
      <w:r>
        <w:rPr>
          <w:rFonts w:cs="A028 Extrabold;Times New Roman" w:ascii="A028 Extrabold;Times New Roman" w:hAnsi="A028 Extrabold;Times New Roman"/>
          <w:rtl w:val="true"/>
        </w:rPr>
        <w:t xml:space="preserve">; </w:t>
      </w:r>
      <w:r>
        <w:rPr>
          <w:rFonts w:ascii="A028 Extrabold;Times New Roman" w:hAnsi="A028 Extrabold;Times New Roman" w:cs="A028 Extrabold;Times New Roman"/>
          <w:rtl w:val="true"/>
        </w:rPr>
        <w:t>ושלילת רישיון נהיגה לשנתיים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כן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ביקשה התביעה להפעיל המאסר המותנה מגזר הדין ת</w:t>
      </w:r>
      <w:r>
        <w:rPr>
          <w:rFonts w:cs="A028 Extrabold;Times New Roman" w:ascii="A028 Extrabold;Times New Roman" w:hAnsi="A028 Extrabold;Times New Roman"/>
          <w:rtl w:val="true"/>
        </w:rPr>
        <w:t>/</w:t>
      </w:r>
      <w:r>
        <w:rPr>
          <w:rFonts w:cs="A028 Extrabold;Times New Roman" w:ascii="A028 Extrabold;Times New Roman" w:hAnsi="A028 Extrabold;Times New Roman"/>
        </w:rPr>
        <w:t>3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במצטבר לכל עונש מאסר שיוטל על 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לטענת התביעה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עבירות נשק מגלמות בתוכן פוטנציאל הרסני לפגיעה בשלום הציבור ובטחונו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ומכאן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שעבירות אלו מקיימות באופן מהותי את יסוד האלימות</w:t>
      </w:r>
      <w:r>
        <w:rPr>
          <w:rFonts w:cs="A028 Extrabold;Times New Roman" w:ascii="A028 Extrabold;Times New Roman" w:hAnsi="A028 Extrabold;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התביעה ביקשה למקם עונשו של 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בשליש האמצעי של מתחם הענישה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 xml:space="preserve">לעניין הנאשם </w:t>
      </w:r>
      <w:r>
        <w:rPr>
          <w:rFonts w:cs="A028 Extrabold;Times New Roman" w:ascii="A028 Extrabold;Times New Roman" w:hAnsi="A028 Extrabold;Times New Roman"/>
          <w:u w:val="single"/>
        </w:rPr>
        <w:t>2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הפנתה התביעה להנחיית פרקליט המדינה </w:t>
      </w:r>
      <w:r>
        <w:rPr>
          <w:rFonts w:cs="A028 Extrabold;Times New Roman" w:ascii="A028 Extrabold;Times New Roman" w:hAnsi="A028 Extrabold;Times New Roman"/>
        </w:rPr>
        <w:t>9.16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שענינה מדיניות ענישה בעבירות נשק ומטעני חבלה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ועתרה למתחם ענישה הנע בין </w:t>
      </w:r>
      <w:r>
        <w:rPr>
          <w:rFonts w:cs="A028 Extrabold;Times New Roman" w:ascii="A028 Extrabold;Times New Roman" w:hAnsi="A028 Extrabold;Times New Roman"/>
        </w:rPr>
        <w:t>6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חודשי מאסר לריצוי בדרך של עבודות שירות ועד </w:t>
      </w:r>
      <w:r>
        <w:rPr>
          <w:rFonts w:cs="A028 Extrabold;Times New Roman" w:ascii="A028 Extrabold;Times New Roman" w:hAnsi="A028 Extrabold;Times New Roman"/>
        </w:rPr>
        <w:t>6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בכליאה ממשית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התביעה ביקשה למקם עונשו של הנאשם </w:t>
      </w:r>
      <w:r>
        <w:rPr>
          <w:rFonts w:cs="A028 Extrabold;Times New Roman" w:ascii="A028 Extrabold;Times New Roman" w:hAnsi="A028 Extrabold;Times New Roman"/>
        </w:rPr>
        <w:t>2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באמצע המתחם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לצד מאסר מותנה משמעותי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>ההגנה</w:t>
      </w:r>
      <w:r>
        <w:rPr>
          <w:rFonts w:ascii="A028 Extrabold;Times New Roman" w:hAnsi="A028 Extrabold;Times New Roman" w:cs="A028 Extrabold;Times New Roman"/>
          <w:rtl w:val="true"/>
        </w:rPr>
        <w:t xml:space="preserve">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המתחמים אליהם עתרה התביעה אינם מידתיים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כי 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אדם נורמטיבי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נשוי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אב לקטין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טרם מעצרו היה יציב תעסוקתית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שגתה התביעה בהתייחסותה לעבירת החזקת הנשק כעבירת אלימות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כיוון שהנשק שנתפס הוחזק בבית מגורים כשהוא מפורק לשניים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ולא היה מוכן לפעולה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ואף לא נטען כי נעשה בנשק שימוש כלשהו או שהיתה כוונה להשתמש בו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כי עברו הפלילי של 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אינו מכביד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עתירת התביעה ל</w:t>
      </w:r>
      <w:r>
        <w:rPr>
          <w:rFonts w:cs="A028 Extrabold;Times New Roman" w:ascii="A028 Extrabold;Times New Roman" w:hAnsi="A028 Extrabold;Times New Roman"/>
          <w:rtl w:val="true"/>
        </w:rPr>
        <w:t>-</w:t>
      </w:r>
      <w:r>
        <w:rPr>
          <w:rFonts w:cs="A028 Extrabold;Times New Roman" w:ascii="A028 Extrabold;Times New Roman" w:hAnsi="A028 Extrabold;Times New Roman"/>
        </w:rPr>
        <w:t>6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בגין עבירה של החזקת סם בכמות המיועדת לשימוש עצמי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אינה ראויה ואינה מידתית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בהקשר זה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הוסיפה ההגנה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כי לא נטען שהנאשם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השתמש בסמים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אלא רק שהחזיק בכמות המוגדרת לצריכה עצמית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אין לקבוע מתחמים שונים אלא מתחם אחד כולל לעבירות הנשק והסמים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 xml:space="preserve">באשר לנאשם </w:t>
      </w:r>
      <w:r>
        <w:rPr>
          <w:rFonts w:cs="A028 Extrabold;Times New Roman" w:ascii="A028 Extrabold;Times New Roman" w:hAnsi="A028 Extrabold;Times New Roman"/>
        </w:rPr>
        <w:t>2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טענה ההגנה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הנאשם הודה במיוחס לו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ונתן הסבר המניח את הדעת </w:t>
      </w:r>
      <w:r>
        <w:rPr>
          <w:rFonts w:ascii="A028 Extrabold;Times New Roman" w:hAnsi="A028 Extrabold;Times New Roman" w:cs="A028 Extrabold;Times New Roman"/>
          <w:rtl w:val="true"/>
        </w:rPr>
        <w:t>–</w:t>
      </w:r>
      <w:r>
        <w:rPr>
          <w:rFonts w:ascii="A028 Extrabold;Times New Roman" w:hAnsi="A028 Extrabold;Times New Roman" w:cs="A028 Extrabold;Times New Roman"/>
          <w:rtl w:val="true"/>
        </w:rPr>
        <w:t xml:space="preserve"> לדבריו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מצא את הכדורים ושמר אותם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הנאשמים הם אנשים נורמטיביים מרקע נורמטיבי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אביהם ושלושת אחיהם שירתו בצבא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אביהם התנדב במשמר האזרחי ובמשטרה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אשת 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סטודנטית למשפטים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ביקשה לייחס משקל לעדויות עדי האופי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שפורטו לעיל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ביקשה ליתן משקל לכך שהנאשמים הודו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נטלו אחריות וחסכו זמן שיפוטי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כי מתחם העונש ההולם בענינו של הנאשם </w:t>
      </w:r>
      <w:r>
        <w:rPr>
          <w:rFonts w:cs="A028 Extrabold;Times New Roman" w:ascii="A028 Extrabold;Times New Roman" w:hAnsi="A028 Extrabold;Times New Roman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הוא </w:t>
      </w:r>
      <w:r>
        <w:rPr>
          <w:rFonts w:cs="A028 Extrabold;Times New Roman" w:ascii="A028 Extrabold;Times New Roman" w:hAnsi="A028 Extrabold;Times New Roman"/>
        </w:rPr>
        <w:t>10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 xml:space="preserve">עד </w:t>
      </w:r>
      <w:r>
        <w:rPr>
          <w:rFonts w:cs="A028 Extrabold;Times New Roman" w:ascii="A028 Extrabold;Times New Roman" w:hAnsi="A028 Extrabold;Times New Roman"/>
        </w:rPr>
        <w:t>18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חודשי מאסר בפועל ויש למקם עונשו ברף התחתון של המתחם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לצד מאסר מותנה בעבירות סמים על כל סוגיהן וענישה נלווית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rtl w:val="true"/>
        </w:rPr>
        <w:t>ההגנה טענה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 xml:space="preserve">כי בעניין הנאשם </w:t>
      </w:r>
      <w:r>
        <w:rPr>
          <w:rFonts w:cs="A028 Extrabold;Times New Roman" w:ascii="A028 Extrabold;Times New Roman" w:hAnsi="A028 Extrabold;Times New Roman"/>
        </w:rPr>
        <w:t>2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אשר החזיק ב</w:t>
      </w:r>
      <w:r>
        <w:rPr>
          <w:rFonts w:cs="A028 Extrabold;Times New Roman" w:ascii="A028 Extrabold;Times New Roman" w:hAnsi="A028 Extrabold;Times New Roman"/>
          <w:rtl w:val="true"/>
        </w:rPr>
        <w:t>-</w:t>
      </w:r>
      <w:r>
        <w:rPr>
          <w:rFonts w:cs="A028 Extrabold;Times New Roman" w:ascii="A028 Extrabold;Times New Roman" w:hAnsi="A028 Extrabold;Times New Roman"/>
        </w:rPr>
        <w:t>8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כדורים בלבד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ללא נשק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יש להסתפק בענישה צופה פני עתיד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 xml:space="preserve">בדברו האחרון של הנאשם </w:t>
      </w:r>
      <w:r>
        <w:rPr>
          <w:rFonts w:cs="A028 Extrabold;Times New Roman" w:ascii="A028 Extrabold;Times New Roman" w:hAnsi="A028 Extrabold;Times New Roman"/>
          <w:u w:val="single"/>
        </w:rPr>
        <w:t>1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מסר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הוא מצטער על מעשיו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לדבריו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החזיק בנשק לתקופה קצרה מבלי לחשוב על ההשלכות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וכעת מצר מאוד על כך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בייחוד לאור העובדה שנולד בנו הבכור לאחר כ</w:t>
      </w:r>
      <w:r>
        <w:rPr>
          <w:rFonts w:cs="A028 Extrabold;Times New Roman" w:ascii="A028 Extrabold;Times New Roman" w:hAnsi="A028 Extrabold;Times New Roman"/>
          <w:rtl w:val="true"/>
        </w:rPr>
        <w:t>-</w:t>
      </w:r>
      <w:r>
        <w:rPr>
          <w:rFonts w:cs="A028 Extrabold;Times New Roman" w:ascii="A028 Extrabold;Times New Roman" w:hAnsi="A028 Extrabold;Times New Roman"/>
        </w:rPr>
        <w:t>7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שנים של נסיונות להביא ילדים לעולם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והוא רוצה להיות לצד בנו ולראות אותו גדל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הנאשם ביקש מבית המשפט להתחשב בו בעת קביעת עונשו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u w:val="single"/>
          <w:rtl w:val="true"/>
        </w:rPr>
        <w:t xml:space="preserve">בדברו האחרון של הנאשם </w:t>
      </w:r>
      <w:r>
        <w:rPr>
          <w:rFonts w:cs="A028 Extrabold;Times New Roman" w:ascii="A028 Extrabold;Times New Roman" w:hAnsi="A028 Extrabold;Times New Roman"/>
          <w:u w:val="single"/>
        </w:rPr>
        <w:t>2</w:t>
      </w:r>
      <w:r>
        <w:rPr>
          <w:rFonts w:cs="A028 Extrabold;Times New Roman" w:ascii="A028 Extrabold;Times New Roman" w:hAnsi="A028 Extrabold;Times New Roman"/>
          <w:rtl w:val="true"/>
        </w:rPr>
        <w:t xml:space="preserve"> </w:t>
      </w:r>
      <w:r>
        <w:rPr>
          <w:rFonts w:ascii="A028 Extrabold;Times New Roman" w:hAnsi="A028 Extrabold;Times New Roman" w:cs="A028 Extrabold;Times New Roman"/>
          <w:rtl w:val="true"/>
        </w:rPr>
        <w:t>מסר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כי הוא מצטער על מעשיו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לדבריו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מצא את הכדורים ושמר אותם ברכב על מנת שילדיו לא ישחקו בהם מבלי לחשוב על ההשלכות</w:t>
      </w:r>
      <w:r>
        <w:rPr>
          <w:rFonts w:cs="A028 Extrabold;Times New Roman" w:ascii="A028 Extrabold;Times New Roman" w:hAnsi="A028 Extrabold;Times New Roman"/>
          <w:rtl w:val="true"/>
        </w:rPr>
        <w:t xml:space="preserve">. </w:t>
      </w:r>
      <w:r>
        <w:rPr>
          <w:rFonts w:ascii="A028 Extrabold;Times New Roman" w:hAnsi="A028 Extrabold;Times New Roman" w:cs="A028 Extrabold;Times New Roman"/>
          <w:rtl w:val="true"/>
        </w:rPr>
        <w:t>לדבריו</w:t>
      </w:r>
      <w:r>
        <w:rPr>
          <w:rFonts w:cs="A028 Extrabold;Times New Roman" w:ascii="A028 Extrabold;Times New Roman" w:hAnsi="A028 Extrabold;Times New Roman"/>
          <w:rtl w:val="true"/>
        </w:rPr>
        <w:t xml:space="preserve">, </w:t>
      </w:r>
      <w:r>
        <w:rPr>
          <w:rFonts w:ascii="A028 Extrabold;Times New Roman" w:hAnsi="A028 Extrabold;Times New Roman" w:cs="A028 Extrabold;Times New Roman"/>
          <w:rtl w:val="true"/>
        </w:rPr>
        <w:t>מנהל דוכן למכירת כלי בית בשוק ברהט</w:t>
      </w:r>
      <w:r>
        <w:rPr>
          <w:rFonts w:cs="A028 Extrabold;Times New Roman" w:ascii="A028 Extrabold;Times New Roman" w:hAnsi="A028 Extrabol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028 Extrabold;Times New Roman" w:hAnsi="A028 Extrabold;Times New Roman" w:cs="A028 Extrabold;Times New Roman"/>
        </w:rPr>
      </w:pPr>
      <w:r>
        <w:rPr>
          <w:rFonts w:ascii="A028 Extrabold;Times New Roman" w:hAnsi="A028 Extrabold;Times New Roman" w:cs="A028 Extrabold;Times New Roman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כלי הנשק עלול למצוא דרכו לפעילות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פלילית ואם נגד בטחון המדינה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החזקת נשק על ידי מי שלא נבדק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נמצא מתאים ולא הוכשר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שמחזיק נשק ברישיון נדרש לאפסנו בכספת מאובטחת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שני מנעולים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עלולה להביא לסיכון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אין ראיות שהוחזק לצורך פעילות שלילית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</w:rPr>
      </w:pPr>
      <w:r>
        <w:rPr>
          <w:rFonts w:cs="Times New Roman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המבצעים את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קריספל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בשל פוטנציאל ההרס הטמון בכלי 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הכולל גם אפשרות לפגיעה עיוורת באנשים מן הישוב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זאת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לבלום את שרשרת העבירות בשלב ראשוני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בפסק הדין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נאמר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Aharoni" w:ascii="Aharoni" w:hAnsi="Aharoni"/>
          <w:rtl w:val="true"/>
        </w:rPr>
        <w:t xml:space="preserve">... </w:t>
      </w:r>
      <w:r>
        <w:rPr>
          <w:rFonts w:ascii="Aharoni" w:hAnsi="Aharoni" w:cs="Aharoni"/>
          <w:rtl w:val="true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ודוק</w:t>
      </w:r>
      <w:r>
        <w:rPr>
          <w:rFonts w:cs="Aharoni" w:ascii="Aharoni" w:hAnsi="Aharoni"/>
          <w:rtl w:val="true"/>
        </w:rPr>
        <w:t xml:space="preserve">: </w:t>
      </w:r>
      <w:r>
        <w:rPr>
          <w:rFonts w:ascii="Aharoni" w:hAnsi="Aharoni" w:cs="Aharoni"/>
          <w:rtl w:val="true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ולו ברגעי לחץ ופחד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בשורה של פסקי דין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חומרת הסיכון הנשקף מעבירות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מחייבת השתת עונשי מאסר בפועל בגין עבירות אלה וזאת גם כאשר המדובר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לכאורה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במי שמנהל אורח חיים נורמטיבי ואין לחובתו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בבוא בית המשפט לשקול את הענישה בעבירות מסוג זה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על פני הנסיבות האישיות של העבריין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ראו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5220/09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עוואודה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haroni" w:hAnsi="Aharoni" w:cs="Aharoni"/>
          <w:rtl w:val="true"/>
        </w:rPr>
        <w:t xml:space="preserve">אשר על כן משכבר נקבע הכלל לפיו </w:t>
      </w:r>
      <w:r>
        <w:rPr>
          <w:rFonts w:ascii="Aharoni" w:hAnsi="Aharoni" w:cs="Aharoni"/>
          <w:u w:val="single"/>
          <w:rtl w:val="true"/>
        </w:rPr>
        <w:t>ככלל יש לאסור את המבצעים עבירה זו</w:t>
      </w:r>
      <w:r>
        <w:rPr>
          <w:rFonts w:cs="Aharoni" w:ascii="Aharoni" w:hAnsi="Aharoni"/>
          <w:u w:val="single"/>
          <w:rtl w:val="true"/>
        </w:rPr>
        <w:t xml:space="preserve">, </w:t>
      </w:r>
      <w:r>
        <w:rPr>
          <w:rFonts w:ascii="Aharoni" w:hAnsi="Aharoni" w:cs="Aharoni"/>
          <w:u w:val="single"/>
          <w:rtl w:val="true"/>
        </w:rPr>
        <w:t>גם אם מדובר בעבירה ראשונה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מאחורי סורג ובריח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ואילו אורך התקופה כלול בנסיבות הספציפיות של העושה והמעשה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צריכת סמים יש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בעקיפין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פגיעה פוטנציאלית בציבור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תופעות ההתמכרות ויתר התופעות השליליות הנלוות לשימוש בסמים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הירידה בפריון העבודה והתנהגות 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אלימה או עבריינית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הקשורה עם השימוש בחומרים משני תודעה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מתחם ענישה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לצורך סקירת מדיניות הענישה הנוהגת</w:t>
      </w:r>
      <w:r>
        <w:rPr>
          <w:rFonts w:ascii="David" w:hAnsi="David"/>
          <w:rtl w:val="true"/>
        </w:rPr>
        <w:t xml:space="preserve"> בעבירות שעניינן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חלקי נשק או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תובא להלן פסיקה רלוונטית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028 Extrabold;Times New Roman" w:hAnsi="A028 Extrabold;Times New Roman" w:cs="A028 Extrabold;Times New Roman"/>
        </w:rPr>
      </w:pPr>
      <w:r>
        <w:rPr>
          <w:rFonts w:cs="A028 Extrabold;Times New Roman" w:ascii="A028 Extrabold;Times New Roman" w:hAnsi="A028 Extrabold;Times New Rom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בגזר הדין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52091-02-20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 אעסם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במאגרים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פרשת אל אעסם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בהחזקת נשק מסוג תת מקלע מאולתר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לצד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הוסלקו בארון מטבח בבית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נגזרו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23419-01-17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זניד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ערעור המדינה בעניינם של שני 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נתפס מחזיק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ביחד עם מחסנית 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רובה סער מאולתר דמוי </w:t>
      </w:r>
      <w:r>
        <w:rPr>
          <w:rFonts w:cs="Arial" w:ascii="Arial" w:hAnsi="Arial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ובה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נתפס מחזיק בשני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כן בצירוף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התקבל בהסכמת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שהוחמרו עונשי המאסר שהושתו על המשיבים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מצא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המתחמים שנקבעו על ידי בית משפט השלום נמוכים יתר על המידה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בעקבות החלטת בית המשפט המחוזי בערעור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נוסף שנדון 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קבע בית משפט השלום מתחם ענישה שינוע בין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בגין החזקת כלי נשק מאולתר </w:t>
      </w:r>
      <w:r>
        <w:rPr>
          <w:rFonts w:ascii="David" w:hAnsi="David"/>
          <w:u w:val="single"/>
          <w:rtl w:val="true"/>
        </w:rPr>
        <w:t>אחד</w:t>
      </w:r>
      <w:r>
        <w:rPr>
          <w:rFonts w:ascii="David" w:hAnsi="David"/>
          <w:rtl w:val="true"/>
        </w:rPr>
        <w:t xml:space="preserve"> מסוג תת מקלע בצירוף מחסנית ובה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7544-11-16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אלאסד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שאינו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שהוגש על גזר הדין – נדחה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ואף נקבע על ידי 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עומד במתחם ענישה ראוי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22885-05-17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אלאסד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בגזר דין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32560-12-16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אלסאריעה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תוקנה לנסיון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בשל כך </w:t>
      </w:r>
      <w:r>
        <w:rPr>
          <w:rFonts w:ascii="David" w:hAnsi="David"/>
          <w:u w:val="single"/>
          <w:rtl w:val="true"/>
        </w:rPr>
        <w:t>שהנשק לא היה תקין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כשכלי הנשק הוחזקו בביתו של הנאשם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מתחם כולל שנע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בשבתו כבית משפט לערעורים פליליים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דחה בית המשפט המחוזי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הרכב אב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ד כב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הנשיאה ר</w:t>
      </w:r>
      <w:r>
        <w:rPr>
          <w:rFonts w:cs="David" w:ascii="David" w:hAnsi="David"/>
          <w:u w:val="single"/>
          <w:rtl w:val="true"/>
        </w:rPr>
        <w:t xml:space="preserve">' </w:t>
      </w:r>
      <w:r>
        <w:rPr>
          <w:rFonts w:ascii="David" w:hAnsi="David"/>
          <w:u w:val="single"/>
          <w:rtl w:val="true"/>
        </w:rPr>
        <w:t>יפה</w:t>
      </w:r>
      <w:r>
        <w:rPr>
          <w:rFonts w:cs="David" w:ascii="David" w:hAnsi="David"/>
          <w:u w:val="single"/>
          <w:rtl w:val="true"/>
        </w:rPr>
        <w:t>-</w:t>
      </w:r>
      <w:r>
        <w:rPr>
          <w:rFonts w:ascii="David" w:hAnsi="David"/>
          <w:u w:val="single"/>
          <w:rtl w:val="true"/>
        </w:rPr>
        <w:t>כץ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ערעור ההגנה על חומרת העונש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תוך שמצא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 חרף העדר אינדיקציה על שימוש פלילי או אחר המתוכן בנשק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ועל אף נסיבותיו האישיות של המערער שם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ascii="David" w:hAnsi="David"/>
          <w:u w:val="single"/>
          <w:rtl w:val="true"/>
        </w:rPr>
        <w:t>צעיר ללא עבר פלילי</w:t>
      </w:r>
      <w:r>
        <w:rPr>
          <w:rFonts w:cs="David" w:ascii="David" w:hAnsi="David"/>
          <w:u w:val="single"/>
          <w:rtl w:val="true"/>
        </w:rPr>
        <w:t xml:space="preserve">) – </w:t>
      </w:r>
      <w:r>
        <w:rPr>
          <w:rFonts w:ascii="David" w:hAnsi="David"/>
          <w:u w:val="single"/>
          <w:rtl w:val="true"/>
        </w:rPr>
        <w:t>הרי הנסיבות האישיות ואינטרס השיקום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נדחים מפני האינטרס הציבורי של מיגור עבירות מסוג זה</w:t>
      </w:r>
      <w:r>
        <w:rPr>
          <w:rFonts w:cs="David" w:ascii="David" w:hAnsi="David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4673-08-19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מוסא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 – 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פרשת אבו מוסא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ההגנה על עונש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בתוספת מאסר מותנה וקנס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שהושתו על צעיר שהחזיק כלי נשק מסוג </w:t>
      </w:r>
      <w:r>
        <w:rPr>
          <w:rFonts w:ascii="David" w:hAnsi="David"/>
          <w:u w:val="single"/>
          <w:rtl w:val="true"/>
        </w:rPr>
        <w:t>תת מקלע מאולתר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אותו מערער החזיק בנשק למשך </w:t>
      </w:r>
      <w:r>
        <w:rPr>
          <w:rFonts w:ascii="David" w:hAnsi="David"/>
          <w:u w:val="single"/>
          <w:rtl w:val="true"/>
        </w:rPr>
        <w:t>עשרה ימים בלבד</w:t>
      </w:r>
      <w:r>
        <w:rPr>
          <w:rFonts w:ascii="David" w:hAnsi="David"/>
          <w:rtl w:val="true"/>
        </w:rPr>
        <w:t xml:space="preserve"> ואף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החזיקו בעבור אחר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המחוזי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בראשות הנשיאה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יפה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המשפט קמא ציין ובצדק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את החומרה הרבה שיש לראות בעבירות הקשורות בנשק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בצדק ציין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כי בית המשפט מצווה להחמיר את הענישה בעבירות כגון אלה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כדי להגן על הציבור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כך צדק גם בית המשפט בעת שקבע מתחם עונש כפי שקבע</w:t>
      </w:r>
      <w:r>
        <w:rPr>
          <w:rFonts w:cs="Aharoni" w:ascii="Aharoni" w:hAnsi="Aharoni"/>
          <w:rtl w:val="true"/>
        </w:rPr>
        <w:t>...</w:t>
      </w:r>
    </w:p>
    <w:p>
      <w:pPr>
        <w:pStyle w:val="ListParagraph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בית משפט קמה הדגיש את העובדה כי העבירה של החזקת נשק הפכה למכה של  אזור הדרום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ואף צדק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כאשר קבע שלא ניתן להתעלם מנסיבה זו בעת קביעת העונש הראוי למערער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בגזר הדין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19417-11-16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נאשם ללא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חיים אזרחיים עמלניים כבעלים של מספר עסקים בישוב חורה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לעונש מאסר בפועל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החזקת אקדח חצי אוטומטי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במתחם שנקבע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כשהסיבה לקביעת המתחם שם היתה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הנשק הוחזק בליווית תחמושת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 ב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ללא הרשעות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ואף ללא רישומים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שירות צבאי ארוך בסדיר ובקבע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מוכר כדמות ציבורית במגזר אליו משתייך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לפני מספר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פורסמה הנחיית פרקליט המדינה מס</w:t>
      </w:r>
      <w:r>
        <w:rPr>
          <w:rFonts w:cs="David" w:ascii="David" w:hAnsi="David"/>
          <w:rtl w:val="true"/>
        </w:rPr>
        <w:t xml:space="preserve">' 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מיום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 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07/08/16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בנוגע למדיניות הענישה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המדובר בעבירה ראשונה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מבחינת מדרג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הוצבה החזקה של רובה סער או תת מקלע – </w:t>
      </w:r>
      <w:r>
        <w:rPr>
          <w:rFonts w:ascii="David" w:hAnsi="David"/>
          <w:u w:val="single"/>
          <w:rtl w:val="true"/>
        </w:rPr>
        <w:t>ברמה אחת לפני הרמה החמורה ביותר</w:t>
      </w:r>
      <w:r>
        <w:rPr>
          <w:rFonts w:ascii="David" w:hAnsi="David"/>
          <w:rtl w:val="true"/>
        </w:rPr>
        <w:t xml:space="preserve"> ואילו אחזקת נשק קצר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אקדח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ברמה נמוכה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לנוכח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שפורטה באותה 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הונחתה התביעה הכללית לטעון למתחם שינוע בין שנתיים עד ארבע שנות מאסר בפועל בגין כל עבירה בודדת של החזקת רובה או תת מקלע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בין שנה לשלוש שנים בגין אחזקת נשק קצר מסוג אקדח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 מאסר בפועל ממש בגין אחזקת 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הצורך בהחמרת הענישה נומק במספר הרב של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פליליות ואם כאלה נגד בטחון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שנעברו לאחרונה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הביאו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לעיתים מזומנות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לפגיעה באזרחים בלתי מעורבים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המחשה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המפורט בנתונים שהובאו במסגרת ההנחיה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אירעו בישראל </w:t>
      </w:r>
      <w:r>
        <w:rPr>
          <w:rFonts w:cs="David" w:ascii="David" w:hAnsi="David"/>
        </w:rPr>
        <w:t>563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אירועים של פיגועים </w:t>
      </w:r>
      <w:r>
        <w:rPr>
          <w:rFonts w:ascii="David" w:hAnsi="David"/>
          <w:u w:val="single"/>
          <w:rtl w:val="true"/>
        </w:rPr>
        <w:t>פליליים</w:t>
      </w:r>
      <w:r>
        <w:rPr>
          <w:rFonts w:ascii="David" w:hAnsi="David"/>
          <w:rtl w:val="true"/>
        </w:rPr>
        <w:t xml:space="preserve"> באמצעות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לקחת בחשבון פיגועים על רקע בטחוני או עבירות שנאה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ריבוי כתבי האישום בגין עבירות אלה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מאשש 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u w:val="single"/>
          <w:rtl w:val="true"/>
        </w:rPr>
        <w:t>העבירה הנדונה הפכה ל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מכת מדינה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 מהגורמים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הנגישות הרבה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נפיצות כלי הנשק יוצרת סכנה של ממש לבטחון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האמרה הידועה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הנשק שהופיע במערכה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חוזר להופיע במערכות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בהצצה חטופה בכל מהדורת חדשות כמעט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להתרשם מהנזקים הקשים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נגרמים מכלי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המוחזקים על ידי מי שאינו מורשה לכך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בשורה של גזרי דין מהזמן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 התפשטות הפעילות העבר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ינית הכוללת </w:t>
      </w:r>
      <w:r>
        <w:rPr>
          <w:rFonts w:ascii="David" w:hAnsi="David"/>
          <w:rtl w:val="true"/>
        </w:rPr>
        <w:t xml:space="preserve">החזקה או </w:t>
      </w:r>
      <w:r>
        <w:rPr>
          <w:rFonts w:ascii="David" w:hAnsi="David"/>
          <w:rtl w:val="true"/>
        </w:rPr>
        <w:t>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בית המשפט</w:t>
      </w:r>
      <w:r>
        <w:rPr>
          <w:rFonts w:ascii="David" w:hAnsi="David"/>
          <w:rtl w:val="true"/>
        </w:rPr>
        <w:t xml:space="preserve"> לקבוע החמרה </w:t>
      </w:r>
      <w:r>
        <w:rPr>
          <w:rFonts w:ascii="David" w:hAnsi="David"/>
          <w:rtl w:val="true"/>
        </w:rPr>
        <w:t>הדרגתית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במתחמים שנקבעו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כשהמתחם בגין אחזקת נשק חם אוטומטי מסוג רובה סער או תת מקלע –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מאסר 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פרשת </w:t>
      </w:r>
      <w:r>
        <w:rPr>
          <w:rFonts w:ascii="David" w:hAnsi="David"/>
          <w:b/>
          <w:b/>
          <w:bCs/>
          <w:rtl w:val="true"/>
        </w:rPr>
        <w:t>אל אעסם</w:t>
      </w:r>
      <w:r>
        <w:rPr>
          <w:rFonts w:ascii="David" w:hAnsi="David"/>
          <w:rtl w:val="true"/>
        </w:rPr>
        <w:t xml:space="preserve"> דלעיל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החזקת 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החזיק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חלקי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רבה וסמים מסוג קנביס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הכל כמפורט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מגוון התחמושת והחלקים שהוחזקו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 על מעורבות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שאינה מקרית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בתחום העברייני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בית המשפט לקבוע מתחם ענישה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ינוע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החזיק כמות לא גדולה של כדורים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בית המשפט לקבוע מתחם ענישה הנע בין ענישה צופה פני עתיד ועד מספר 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יכול שירוצו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קביעת הענישה הספציפית במסגרת המתחם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לחובת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הרשעה קודמת בעבירת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אף תלוי ועומד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בין הצדדים מחלוקת האם הוא בר הפעלה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לזכות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הודאתו באשמה ונטילת האחריות מצדו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הבעת חרטה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לשאלת הפעלת המאסר המותנה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התביעה לפסק הדין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4065/18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איאסו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נאשם בגין 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טעון ומוכן לשימוש במקום ציבורי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הפרעה לשוטר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הפרת הוראה חוקית והשיג על החלטת בית המשפט המחוזי מרכז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 הפעלת מאסר מותנה שהוטל על כל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בבית משפט השלום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החזקת נשק אינה עולה כדי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עבירה שיסודה אלימות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בערעור שהוגש לבית המשפט המחוזי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ניתן להפעיל את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שמדובר בעבירה המקימה יסוד של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ציין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</w:rPr>
      </w:pPr>
      <w:r>
        <w:rPr>
          <w:rFonts w:cs="Aharoni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</w:rPr>
      </w:pPr>
      <w:r>
        <w:rPr>
          <w:rFonts w:ascii="David" w:hAnsi="David" w:cs="Aharoni"/>
          <w:rtl w:val="true"/>
        </w:rPr>
        <w:t>המבחן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להחלת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מאסר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תנאי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ביחס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מאוחרת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הינו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ענייני</w:t>
      </w:r>
      <w:r>
        <w:rPr>
          <w:rFonts w:cs="Aharoni" w:ascii="David" w:hAnsi="David"/>
          <w:rtl w:val="true"/>
        </w:rPr>
        <w:t>-</w:t>
      </w:r>
      <w:r>
        <w:rPr>
          <w:rFonts w:ascii="David" w:hAnsi="David" w:cs="Aharoni"/>
          <w:rtl w:val="true"/>
        </w:rPr>
        <w:t>מהותי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כאשר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מטרתו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העונשית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המאסר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תנאי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הוא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להרתיע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הנאשם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מלשוב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ולנהוג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בהתנהגות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דומה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לזו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שנהג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בעבר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כאשר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ביצע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בגינה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הושת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עליו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עונש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המאסר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התנאי</w:t>
      </w:r>
      <w:r>
        <w:rPr>
          <w:rFonts w:cs="Aharoni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Aharoni"/>
          <w:sz w:val="16"/>
          <w:szCs w:val="16"/>
        </w:rPr>
      </w:pPr>
      <w:r>
        <w:rPr>
          <w:rFonts w:cs="Aharoni" w:ascii="David" w:hAnsi="David"/>
          <w:sz w:val="16"/>
          <w:szCs w:val="1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Aharoni"/>
          <w:sz w:val="16"/>
          <w:szCs w:val="16"/>
        </w:rPr>
      </w:pPr>
      <w:r>
        <w:rPr>
          <w:rFonts w:cs="Aharoni" w:ascii="David" w:hAnsi="David"/>
          <w:sz w:val="16"/>
          <w:szCs w:val="16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Aharoni"/>
        </w:rPr>
      </w:pPr>
      <w:r>
        <w:rPr>
          <w:rFonts w:cs="Aharoni" w:ascii="David" w:hAnsi="David"/>
          <w:sz w:val="16"/>
          <w:szCs w:val="1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</w:rPr>
      </w:pPr>
      <w:r>
        <w:rPr>
          <w:rFonts w:ascii="David" w:hAnsi="David" w:cs="Aharoni"/>
          <w:rtl w:val="true"/>
        </w:rPr>
        <w:t>במקרה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דנן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המערער</w:t>
      </w:r>
      <w:r>
        <w:rPr>
          <w:rFonts w:ascii="David" w:hAnsi="David" w:eastAsia="David"/>
          <w:rtl w:val="true"/>
        </w:rPr>
        <w:t xml:space="preserve"> </w:t>
      </w:r>
      <w:r>
        <w:rPr>
          <w:rFonts w:cs="Aharoni" w:ascii="David" w:hAnsi="David"/>
        </w:rPr>
        <w:t>1</w:t>
      </w:r>
      <w:r>
        <w:rPr>
          <w:rFonts w:cs="Aharoni" w:ascii="David" w:hAnsi="David"/>
          <w:rtl w:val="true"/>
        </w:rPr>
        <w:t xml:space="preserve"> </w:t>
      </w:r>
      <w:r>
        <w:rPr>
          <w:rFonts w:ascii="David" w:hAnsi="David" w:cs="Aharoni"/>
          <w:rtl w:val="true"/>
        </w:rPr>
        <w:t>העמיד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חיי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אדם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בסיכון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ממשי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בשעה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שהחזיק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בידיו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נשק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בעל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פוטנציאל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קטילה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כשהוא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טעון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ומוכן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לירי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במקום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פומבי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כאשר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הגדרת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עבירת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התנאי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בעניינו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כ</w:t>
      </w:r>
      <w:r>
        <w:rPr>
          <w:rFonts w:cs="Aharoni" w:ascii="David" w:hAnsi="David"/>
          <w:rtl w:val="true"/>
        </w:rPr>
        <w:t>"</w:t>
      </w:r>
      <w:r>
        <w:rPr>
          <w:rFonts w:ascii="David" w:hAnsi="David" w:cs="Aharoni"/>
          <w:rtl w:val="true"/>
        </w:rPr>
        <w:t>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שיש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יסוד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של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אלימות</w:t>
      </w:r>
      <w:r>
        <w:rPr>
          <w:rFonts w:cs="Aharoni" w:ascii="David" w:hAnsi="David"/>
          <w:rtl w:val="true"/>
        </w:rPr>
        <w:t xml:space="preserve">", </w:t>
      </w:r>
      <w:r>
        <w:rPr>
          <w:rFonts w:ascii="David" w:hAnsi="David" w:cs="Aharoni"/>
          <w:rtl w:val="true"/>
        </w:rPr>
        <w:t>היא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הגדרה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רחבה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הכוללת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בתוכה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לגישתנו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כל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עבירה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שעניינה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סיכון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חיי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אדם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סיכון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לפגיעה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בשלמות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גופו</w:t>
      </w:r>
      <w:r>
        <w:rPr>
          <w:rFonts w:cs="Aharoni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</w:rPr>
      </w:pPr>
      <w:r>
        <w:rPr>
          <w:rFonts w:cs="Aharoni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בקשת רשות ערעור לבית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שבית המשפט העליון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יסוד האלימות התקיים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שהנאשם החזיק בנשק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כשהוא </w:t>
      </w:r>
      <w:r>
        <w:rPr>
          <w:rFonts w:ascii="David" w:hAnsi="David"/>
          <w:u w:val="single"/>
          <w:rtl w:val="true"/>
        </w:rPr>
        <w:t>טעון ומוכן 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במקום 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הוחזק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מפורק ואף אינו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מגורים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עיקרון החוקיות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עונשין אלא אם מזהירים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המחוקק</w:t>
      </w:r>
      <w:r>
        <w:rPr>
          <w:rFonts w:cs="David" w:ascii="David" w:hAnsi="David"/>
          <w:rtl w:val="true"/>
        </w:rPr>
        <w:t xml:space="preserve">, </w:t>
      </w:r>
      <w:hyperlink r:id="rId33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</w:t>
        </w:r>
        <w:r>
          <w:rPr>
            <w:rStyle w:val="Hyperlink"/>
            <w:rFonts w:ascii="David" w:hAnsi="David"/>
            <w:rtl w:val="true"/>
          </w:rPr>
          <w:t>כ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</w:rPr>
      </w:pPr>
      <w:r>
        <w:rPr>
          <w:rFonts w:ascii="David" w:hAnsi="David" w:cs="Aharoni"/>
          <w:rtl w:val="true"/>
        </w:rPr>
        <w:t>ניתן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דין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לפירושים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סבירים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אחדים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תכליתו</w:t>
      </w:r>
      <w:r>
        <w:rPr>
          <w:rFonts w:cs="Aharoni" w:ascii="David" w:hAnsi="David"/>
          <w:rtl w:val="true"/>
        </w:rPr>
        <w:t xml:space="preserve">, </w:t>
      </w:r>
      <w:r>
        <w:rPr>
          <w:rFonts w:ascii="David" w:hAnsi="David" w:cs="Aharoni"/>
          <w:rtl w:val="true"/>
        </w:rPr>
        <w:t>יוכרע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העניין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הפירוש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המקל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ביותר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עם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מי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שאמור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לשאת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באחריות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פלילית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לפי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אותו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Aharoni"/>
          <w:rtl w:val="true"/>
        </w:rPr>
        <w:t>דין</w:t>
      </w:r>
      <w:r>
        <w:rPr>
          <w:rFonts w:cs="Aharoni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המדובר בפרשנות הוראת חקיקה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המאסר המותנה מהווה אף הוא נורמה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שהיא נורמה ספציפית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החלה על האדם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הושת המאסר המותנה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אותה נורמה קובעת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אם יעבור עבירה מסוימת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ייענש בעונש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המדובר בנורמה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שהיא בתחתית פירמידת הנורמות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כלומר בעלת התחולה המצומצמת ביותר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עדיין זוהי נורמה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שהיא בעלת מאפיין של הוראת דין כלפי אותו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נורמה כזו יש לפרש בפירוש המקל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אחרת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עלול להיפגע עקרון החוקיות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משפט זה 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הדרך הנכונה והמדויקת ביותר לנסח מרחב תחולתם 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 תוך הפניה לסעיפי עבירה ספציפיים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לסימנים או לפרקים רלוונטיים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בדברי חקיקה 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אך אם לא כך נהג מותב אחר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יש לפרש תחולת המאסר המותנה באופן בו האדם הסביר היה מכלכל צעדיו כדי להימנע מלהסתבך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המפעילה אותו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אם במקרה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שהובא על ידי התביעה לעיל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עוד ניתן היה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להודות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 בדוחק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לקשור החזקת הנשק לאיסור על הסתבכות בעבירת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מאפייני תפיסת הנשק באותו מקום היו קשורים לפעילות עבריינית במובהק וכאמור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הנשק כשהוא בכלי רכב המצוי בתנועה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טעון עם כדור בקנה ומוכן לשימוש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במקרה דנן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לא היו מאפיינים המלמדים על היותו מוכן לשימוש ואין לשלול מטרות אחרות להחזקתו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כגון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סמלי מעמד וכדומה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כפי שעלה מהראיות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שנשמעו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מקיימת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כשלא מעטים מבני המשפחה שירתו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תקופות משמעותיות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במצב דברים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בית המשפט 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ניתן להורות על הפעלת המאסר המותנה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מוצא למקם עונשו של הנאשם על הצד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על הרף התחתון ממש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מאסר מותנה מרתיע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הרשעותיו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אינן מהעת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ניתן להניח לזכותו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בשנים  האחרונות חדל ממעורבות שולית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חלקו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 מתמצא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שבאמתחתו נמצאו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החזקת תחמושת מסוג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בכמות שאינה מהגדולות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מחייבת קביעת מתחם ענישה מחמיר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בית המשפט למקם עונשו ברף התחתון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כלומר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להסתפק בהשתת מאסר צופה פני עתיד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המאסרים המותנים בנוגע לכל אחד מהנאשמים יושתו בגין החזקת נשק חם או קר וכן בגין החזקת תחמושת או חלקי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בנוגע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יושת גם מאסר מותנה בגין עבירות בניגוד 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לאחר שבית המשפט עיין בטיעוני התביעה בכתב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שמע טיעוני הצדדים על 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שמע עדותם של עדי האופי מטעם ההגנה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בראיות לעונש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ולאחר ששמע דבר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האחרון של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גוזר בית המשפט על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פשע בניגוד </w:t>
      </w:r>
      <w:hyperlink r:id="rId36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מסוג עוון בניגוד </w:t>
      </w:r>
      <w:hyperlink r:id="rId3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או עבירה כלשהי בניגוד </w:t>
      </w:r>
      <w:hyperlink r:id="rId41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לאותו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12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שיעורים שווים ורצופים החל מיום </w:t>
      </w:r>
      <w:r>
        <w:rPr>
          <w:rFonts w:cs="David" w:ascii="David" w:hAnsi="David"/>
        </w:rPr>
        <w:t>15.0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.21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יועבר אחד התשלומים במועד – תעמוד היתרה לפירעון מידי</w:t>
      </w:r>
      <w:r>
        <w:rPr>
          <w:rFonts w:cs="David" w:ascii="David" w:hAnsi="David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ותחמושת – יושמדו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בחלוף תקופת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והתנאי – שהנאשם לא יעבור עבירה </w:t>
      </w:r>
      <w:r>
        <w:rPr>
          <w:rFonts w:ascii="David" w:hAnsi="David"/>
          <w:rtl w:val="true"/>
        </w:rPr>
        <w:t xml:space="preserve">כלשהי </w:t>
      </w:r>
      <w:r>
        <w:rPr>
          <w:rFonts w:ascii="David" w:hAnsi="David"/>
          <w:rtl w:val="true"/>
        </w:rPr>
        <w:t xml:space="preserve">בניגוד </w:t>
      </w:r>
      <w:hyperlink r:id="rId43">
        <w:r>
          <w:rPr>
            <w:rStyle w:val="Hyperlink"/>
            <w:rFonts w:ascii="David" w:hAnsi="David"/>
            <w:rtl w:val="true"/>
          </w:rPr>
          <w:t xml:space="preserve">לסעיפים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hyperlink r:id="rId44">
        <w:r>
          <w:rPr>
            <w:rStyle w:val="Hyperlink"/>
            <w:rFonts w:cs="David" w:ascii="David" w:hAnsi="David"/>
          </w:rPr>
          <w:t>186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תחמושת – 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ושמד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בחלוף תקופת הערעור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color w:val="FFFFFF"/>
          <w:sz w:val="2"/>
          <w:szCs w:val="2"/>
        </w:rPr>
        <w:t>54678313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3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7"/>
      <w:footerReference w:type="default" r:id="rId4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028 Extrabold">
    <w:altName w:val="Times New Roman"/>
    <w:charset w:val="00" w:characterSet="windows-1252"/>
    <w:family w:val="auto"/>
    <w:pitch w:val="variable"/>
  </w:font>
  <w:font w:name="Aharoni">
    <w:charset w:val="00" w:characterSet="windows-1252"/>
    <w:family w:val="auto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22297-11-20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עאהד בן נעים עובייד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3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eastAsia="Times New Roman" w:cs="David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14264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34ka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.2" TargetMode="External"/><Relationship Id="rId11" Type="http://schemas.openxmlformats.org/officeDocument/2006/relationships/hyperlink" Target="http://www.nevo.co.il/law/4216/144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/7.c.2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case/23127101" TargetMode="External"/><Relationship Id="rId21" Type="http://schemas.openxmlformats.org/officeDocument/2006/relationships/hyperlink" Target="http://www.nevo.co.il/case/16913730" TargetMode="External"/><Relationship Id="rId22" Type="http://schemas.openxmlformats.org/officeDocument/2006/relationships/hyperlink" Target="http://www.nevo.co.il/case/7791493" TargetMode="External"/><Relationship Id="rId23" Type="http://schemas.openxmlformats.org/officeDocument/2006/relationships/hyperlink" Target="http://www.nevo.co.il/case/5852404" TargetMode="External"/><Relationship Id="rId24" Type="http://schemas.openxmlformats.org/officeDocument/2006/relationships/hyperlink" Target="http://www.nevo.co.il/case/6000182" TargetMode="External"/><Relationship Id="rId25" Type="http://schemas.openxmlformats.org/officeDocument/2006/relationships/hyperlink" Target="http://www.nevo.co.il/case/26478630" TargetMode="External"/><Relationship Id="rId26" Type="http://schemas.openxmlformats.org/officeDocument/2006/relationships/hyperlink" Target="http://www.nevo.co.il/case/22112345" TargetMode="External"/><Relationship Id="rId27" Type="http://schemas.openxmlformats.org/officeDocument/2006/relationships/hyperlink" Target="http://www.nevo.co.il/case/22001830" TargetMode="External"/><Relationship Id="rId28" Type="http://schemas.openxmlformats.org/officeDocument/2006/relationships/hyperlink" Target="http://www.nevo.co.il/case/22607175" TargetMode="External"/><Relationship Id="rId29" Type="http://schemas.openxmlformats.org/officeDocument/2006/relationships/hyperlink" Target="http://www.nevo.co.il/case/21778276" TargetMode="External"/><Relationship Id="rId30" Type="http://schemas.openxmlformats.org/officeDocument/2006/relationships/hyperlink" Target="http://www.nevo.co.il/case/25923515" TargetMode="External"/><Relationship Id="rId31" Type="http://schemas.openxmlformats.org/officeDocument/2006/relationships/hyperlink" Target="http://www.nevo.co.il/case/21567481" TargetMode="External"/><Relationship Id="rId32" Type="http://schemas.openxmlformats.org/officeDocument/2006/relationships/hyperlink" Target="http://www.nevo.co.il/case/24263426" TargetMode="External"/><Relationship Id="rId33" Type="http://schemas.openxmlformats.org/officeDocument/2006/relationships/hyperlink" Target="http://www.nevo.co.il/law/70301/34ka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4216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86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law/4216/144" TargetMode="External"/><Relationship Id="rId44" Type="http://schemas.openxmlformats.org/officeDocument/2006/relationships/hyperlink" Target="http://www.nevo.co.il/law/70301/186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2021-12-27T11:49:00Z</dcterms:created>
  <dc:creator> </dc:creator>
  <dc:description/>
  <cp:keywords/>
  <dc:language>en-IL</dc:language>
  <cp:lastModifiedBy>h9</cp:lastModifiedBy>
  <dcterms:modified xsi:type="dcterms:W3CDTF">2021-12-27T11:49:00Z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עאהד בן נעים עובייד;מהין בן נעים עובייד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27142643;23127101;16913730;7791493;5852404;6000182;26478630;22112345;22001830;22607175;21778276;25923515;21567481;24263426</vt:lpwstr>
  </property>
  <property fmtid="{D5CDD505-2E9C-101B-9397-08002B2CF9AE}" pid="9" name="CITY">
    <vt:lpwstr>ב"ש</vt:lpwstr>
  </property>
  <property fmtid="{D5CDD505-2E9C-101B-9397-08002B2CF9AE}" pid="10" name="DATE">
    <vt:lpwstr>20210427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70301/144.a:3;34ka;144:2;186:2</vt:lpwstr>
  </property>
  <property fmtid="{D5CDD505-2E9C-101B-9397-08002B2CF9AE}" pid="15" name="LAWLISTTMP2">
    <vt:lpwstr>4216/007.a;007.c.2;144</vt:lpwstr>
  </property>
  <property fmtid="{D5CDD505-2E9C-101B-9397-08002B2CF9AE}" pid="16" name="LAWYER">
    <vt:lpwstr>דריה רדקין;נתי טרבלסי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22297</vt:lpwstr>
  </property>
  <property fmtid="{D5CDD505-2E9C-101B-9397-08002B2CF9AE}" pid="23" name="NEWPARTB">
    <vt:lpwstr>11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380020210427</vt:lpwstr>
  </property>
  <property fmtid="{D5CDD505-2E9C-101B-9397-08002B2CF9AE}" pid="35" name="TYPE_N_DATE">
    <vt:lpwstr>38020210427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