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22338-06-09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אלמוג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חמו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שפקמן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4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4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bookmarkStart w:id="5" w:name="LawTable_End"/>
      <w:bookmarkStart w:id="6" w:name="LawTable"/>
      <w:bookmarkEnd w:id="5"/>
      <w:bookmarkEnd w:id="6"/>
      <w:r>
        <w:rPr>
          <w:rtl w:val="true"/>
        </w:rPr>
        <w:t>.</w:t>
      </w:r>
      <w:r>
        <w:rPr>
          <w:rFonts w:cs="FrankRuehl" w:ascii="FrankRuehl" w:hAnsi="FrankRuehl"/>
          <w:rtl w:val="true"/>
        </w:rPr>
        <w:t xml:space="preserve"> </w:t>
      </w:r>
      <w:r>
        <w:rPr>
          <w:rtl w:val="true"/>
        </w:rPr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 xml:space="preserve">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24.6.09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מתה</w:t>
      </w:r>
      <w:r>
        <w:rPr>
          <w:rtl w:val="true"/>
        </w:rPr>
        <w:t xml:space="preserve">, </w:t>
      </w:r>
      <w:r>
        <w:rPr>
          <w:rtl w:val="true"/>
        </w:rPr>
        <w:t>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שהתאבדת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""</w:t>
      </w:r>
      <w:r>
        <w:rPr>
          <w:rtl w:val="true"/>
        </w:rPr>
        <w:t>טלרד</w:t>
      </w:r>
      <w:r>
        <w:rPr>
          <w:rtl w:val="true"/>
        </w:rPr>
        <w:t xml:space="preserve">"" </w:t>
      </w:r>
      <w:r>
        <w:rPr>
          <w:rtl w:val="true"/>
        </w:rPr>
        <w:t>בלוד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טלרד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בבטנה</w:t>
      </w:r>
      <w:r>
        <w:rPr>
          <w:rtl w:val="true"/>
        </w:rPr>
        <w:t xml:space="preserve">, </w:t>
      </w:r>
      <w:r>
        <w:rPr>
          <w:rtl w:val="true"/>
        </w:rPr>
        <w:t>בגבה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בשערותיה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לנפשה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ובראשה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וצורחת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bookmarkStart w:id="8" w:name="ABSTRACT_END"/>
      <w:bookmarkEnd w:id="8"/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tl w:val="true"/>
        </w:rPr>
        <w:t xml:space="preserve">. </w:t>
      </w:r>
      <w:r>
        <w:rPr>
          <w:rtl w:val="true"/>
        </w:rPr>
        <w:t>משהגיעו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בזרועותיה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שריטות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26.6.09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,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29.5.13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center"/>
        <w:rPr>
          <w:bCs/>
        </w:rPr>
      </w:pPr>
      <w:r>
        <w:rPr>
          <w:bCs/>
          <w:rtl w:val="true"/>
        </w:rPr>
        <w:t>מהמתלוננת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בנוסף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ב</w:t>
      </w:r>
      <w:r>
        <w:rPr>
          <w:bCs/>
          <w:rtl w:val="true"/>
        </w:rPr>
        <w:t>"</w:t>
      </w:r>
      <w:r>
        <w:rPr>
          <w:bCs/>
          <w:rtl w:val="true"/>
        </w:rPr>
        <w:t>כ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הנאשם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הפנה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לפרק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הזמן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שחלף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מאז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מועד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ביצוע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העבירות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כמעט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כחורבן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האשם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-"</w:t>
      </w:r>
      <w:r>
        <w:rPr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הנזק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כפרמטרים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מנחים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-(</w:t>
      </w:r>
      <w:hyperlink r:id="rId33"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3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11.6.2013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העונש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מלאכתה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כפי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שעולה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מנוסחו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תיקון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113</w:t>
      </w:r>
      <w:r>
        <w:rPr>
          <w:rFonts w:cs="Garamond" w:ascii="Garamond" w:hAnsi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36">
        <w:r>
          <w:rPr>
            <w:rStyle w:val="Hyperlink"/>
            <w:rFonts w:ascii="Garamond" w:hAnsi="Garamond" w:cs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spacing w:val="10"/>
            <w:rtl w:val="true"/>
          </w:rPr>
          <w:t>העונשין</w:t>
        </w:r>
      </w:hyperlink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אשר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לשיקולים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המנחים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המשפט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הענישה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מן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הראוי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37">
        <w:r>
          <w:rPr>
            <w:rStyle w:val="Hyperlink"/>
            <w:rFonts w:ascii="Garamond" w:hAnsi="Garamond" w:cs="Garamond"/>
            <w:spacing w:val="10"/>
            <w:rtl w:val="true"/>
          </w:rPr>
          <w:t>סעיף</w:t>
        </w:r>
        <w:r>
          <w:rPr>
            <w:rStyle w:val="Hyperlink"/>
            <w:rFonts w:ascii="Garamond" w:hAnsi="Garamond" w:cs="Garamond"/>
            <w:spacing w:val="10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spacing w:val="10"/>
          </w:rPr>
          <w:t>40</w:t>
        </w:r>
        <w:r>
          <w:rPr>
            <w:rStyle w:val="Hyperlink"/>
            <w:rFonts w:ascii="Garamond" w:hAnsi="Garamond" w:cs="Garamond"/>
            <w:spacing w:val="10"/>
            <w:rtl w:val="true"/>
          </w:rPr>
          <w:t>ג</w:t>
        </w:r>
      </w:hyperlink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38">
        <w:r>
          <w:rPr>
            <w:rStyle w:val="Hyperlink"/>
            <w:rFonts w:ascii="Garamond" w:hAnsi="Garamond" w:cs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spacing w:val="10"/>
            <w:rtl w:val="true"/>
          </w:rPr>
          <w:t>העונשין</w:t>
        </w:r>
      </w:hyperlink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המתייחס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בין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היתר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Garamond" w:ascii="Garamond" w:hAnsi="Garamond"/>
          <w:spacing w:val="10"/>
          <w:rtl w:val="true"/>
        </w:rPr>
        <w:t xml:space="preserve">", </w:t>
      </w:r>
      <w:r>
        <w:rPr>
          <w:rFonts w:ascii="Garamond" w:hAnsi="Garamond" w:cs="Garamond"/>
          <w:spacing w:val="10"/>
          <w:rtl w:val="true"/>
        </w:rPr>
        <w:t>כמפורט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ט</w:t>
      </w:r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ועוד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לעניין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המתחם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להוראות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יב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המקנה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הסמכות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". </w:t>
      </w:r>
      <w:r>
        <w:rPr>
          <w:rFonts w:ascii="Garamond" w:hAnsi="Garamond" w:cs="Garamond"/>
          <w:spacing w:val="10"/>
          <w:rtl w:val="true"/>
        </w:rPr>
        <w:t>כפועל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יוצא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מהאמור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לעיל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ניתן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לטעמי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לקבוע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אפריורית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מתחם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אחיד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לכל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עבירה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ועבירה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וגם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יהיה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נכון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לנסות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וללכת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בדרך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זו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שכן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היא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חותרת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תחת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הוראותיו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נוסחו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ורוחו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תיקון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cs="Garamond" w:ascii="Garamond" w:hAnsi="Garamond"/>
          <w:b/>
          <w:bCs/>
          <w:spacing w:val="10"/>
        </w:rPr>
        <w:t>113</w:t>
      </w:r>
      <w:r>
        <w:rPr>
          <w:rFonts w:cs="Garamond" w:ascii="Garamond" w:hAnsi="Garamond"/>
          <w:b/>
          <w:bCs/>
          <w:spacing w:val="10"/>
          <w:rtl w:val="true"/>
        </w:rPr>
        <w:t xml:space="preserve">."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rtl w:val="true"/>
        </w:rPr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המשקללת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מתחשבים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 w:val="24"/>
          <w:szCs w:val="24"/>
          <w:rtl w:val="true"/>
        </w:rPr>
        <w:t>יא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דוגמת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שתיגרם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ולמשפחתו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מאמציו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למוטב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היעדרו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הצביון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האינדיבידואלי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שהעניק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עיצוב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בהוראה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בסוג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המסוימות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שבהן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בוצעה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קיומו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תכנון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מוקדם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נזק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בכוח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אכזריות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'),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למידת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שהובילוהו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יכולתו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מצוקתו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התעללות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')."  </w:t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ההדגשה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David"/>
          <w:sz w:val="24"/>
          <w:szCs w:val="24"/>
          <w:rtl w:val="true"/>
        </w:rPr>
        <w:t>)</w:t>
      </w:r>
    </w:p>
    <w:p>
      <w:pPr>
        <w:pStyle w:val="Ruller4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אלימות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במשפחה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4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₪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4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2577/12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אלגאדם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] (</w:t>
      </w:r>
      <w:r>
        <w:rPr/>
        <w:t>14.6.12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ובצווארה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30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;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;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;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25.6.09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14.7.09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bookmarkStart w:id="9" w:name="_GoBack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₪.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22338-06-09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end"/>
      <w:pPr>
        <w:tabs>
          <w:tab w:val="num" w:pos="4680"/>
        </w:tabs>
        <w:ind w:start="4680" w:hanging="360"/>
      </w:pPr>
      <w:rPr>
        <w:rFonts w:ascii="Times New Roman" w:hAnsi="Times New Roman"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Times New Roman"/>
      <w:spacing w:val="1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a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i.a.1" TargetMode="External"/><Relationship Id="rId8" Type="http://schemas.openxmlformats.org/officeDocument/2006/relationships/hyperlink" Target="http://www.nevo.co.il/law/70301/40i.a.2" TargetMode="External"/><Relationship Id="rId9" Type="http://schemas.openxmlformats.org/officeDocument/2006/relationships/hyperlink" Target="http://www.nevo.co.il/law/70301/40i.a.3" TargetMode="External"/><Relationship Id="rId10" Type="http://schemas.openxmlformats.org/officeDocument/2006/relationships/hyperlink" Target="http://www.nevo.co.il/law/70301/40i.a.4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380" TargetMode="External"/><Relationship Id="rId14" Type="http://schemas.openxmlformats.org/officeDocument/2006/relationships/hyperlink" Target="http://www.nevo.co.il/law/70301/382.b.1" TargetMode="External"/><Relationship Id="rId15" Type="http://schemas.openxmlformats.org/officeDocument/2006/relationships/hyperlink" Target="http://www.nevo.co.il/law/70301/380" TargetMode="External"/><Relationship Id="rId16" Type="http://schemas.openxmlformats.org/officeDocument/2006/relationships/hyperlink" Target="http://www.nevo.co.il/law/70301/382.b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a" TargetMode="External"/><Relationship Id="rId23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i.a.1" TargetMode="External"/><Relationship Id="rId27" Type="http://schemas.openxmlformats.org/officeDocument/2006/relationships/hyperlink" Target="http://www.nevo.co.il/law/70301/40i.a.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c.a" TargetMode="External"/><Relationship Id="rId30" Type="http://schemas.openxmlformats.org/officeDocument/2006/relationships/hyperlink" Target="http://www.nevo.co.il/law/70301/40c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i.a.3" TargetMode="External"/><Relationship Id="rId33" Type="http://schemas.openxmlformats.org/officeDocument/2006/relationships/hyperlink" Target="http://www.nevo.co.il/law/70301/40i.a.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7667123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0c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6473037" TargetMode="External"/><Relationship Id="rId40" Type="http://schemas.openxmlformats.org/officeDocument/2006/relationships/hyperlink" Target="http://www.nevo.co.il/case/5606505" TargetMode="External"/><Relationship Id="rId41" Type="http://schemas.openxmlformats.org/officeDocument/2006/relationships/hyperlink" Target="http://www.nevo.co.il/case/5568571" TargetMode="External"/><Relationship Id="rId42" Type="http://schemas.openxmlformats.org/officeDocument/2006/relationships/hyperlink" Target="http://www.nevo.co.il/case/5588053" TargetMode="External"/><Relationship Id="rId43" Type="http://schemas.openxmlformats.org/officeDocument/2006/relationships/hyperlink" Target="http://www.nevo.co.il/case/5580873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2020-10-12T11:19:00Z</dcterms:created>
  <dc:creator> </dc:creator>
  <dc:description/>
  <cp:keywords/>
  <dc:language>en-IL</dc:language>
  <cp:lastModifiedBy>hofit</cp:lastModifiedBy>
  <dcterms:modified xsi:type="dcterms:W3CDTF">2020-10-12T11:19:00Z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7667123;6473037;5606505;5568571;5588053;5580873</vt:lpwstr>
  </property>
  <property fmtid="{D5CDD505-2E9C-101B-9397-08002B2CF9AE}" pid="9" name="CITY">
    <vt:lpwstr>רמ'</vt:lpwstr>
  </property>
  <property fmtid="{D5CDD505-2E9C-101B-9397-08002B2CF9AE}" pid="10" name="DATE">
    <vt:lpwstr>20130630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70301/380;382.b.1;192;244;040a;040b;040i.a.1;040i.a.2;040c.a:2;040i.a.3;040i.a.4;040c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22338</vt:lpwstr>
  </property>
  <property fmtid="{D5CDD505-2E9C-101B-9397-08002B2CF9AE}" pid="22" name="NEWPARTB">
    <vt:lpwstr>06</vt:lpwstr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380020130630</vt:lpwstr>
  </property>
  <property fmtid="{D5CDD505-2E9C-101B-9397-08002B2CF9AE}" pid="34" name="TYPE_N_DATE">
    <vt:lpwstr>38020130630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