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2240-09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בכר בן רואידה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4560/09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מיכאל קרשן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אבו בכר בן רואידה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שרגנהיים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בויראת עאדל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הובא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 xml:space="preserve">ביום </w:t>
      </w:r>
      <w:r>
        <w:rPr/>
        <w:t>8.4.10</w:t>
      </w:r>
      <w:r>
        <w:rPr>
          <w:rtl w:val="true"/>
        </w:rPr>
        <w:t xml:space="preserve"> </w:t>
      </w:r>
      <w:r>
        <w:rPr>
          <w:rtl w:val="true"/>
        </w:rPr>
        <w:t>הודה הנאשם</w:t>
      </w:r>
      <w:r>
        <w:rPr>
          <w:rtl w:val="true"/>
        </w:rPr>
        <w:t xml:space="preserve">, </w:t>
      </w:r>
      <w:r>
        <w:rPr>
          <w:rtl w:val="true"/>
        </w:rPr>
        <w:t>והורשע על פי הודייתו</w:t>
      </w:r>
      <w:r>
        <w:rPr>
          <w:rtl w:val="true"/>
        </w:rPr>
        <w:t xml:space="preserve">, </w:t>
      </w:r>
      <w:r>
        <w:rPr>
          <w:rtl w:val="true"/>
        </w:rPr>
        <w:t>בעבירות של החזקת נשק שלא כדין והחזקת תחמושת שלא כדין</w:t>
      </w:r>
      <w:r>
        <w:rPr>
          <w:rtl w:val="true"/>
        </w:rPr>
        <w:t xml:space="preserve">. </w:t>
      </w:r>
      <w:r>
        <w:rPr>
          <w:rtl w:val="true"/>
        </w:rPr>
        <w:t>עובדות כתב האישום בהן הודה הנאשם</w:t>
      </w:r>
      <w:r>
        <w:rPr>
          <w:rtl w:val="true"/>
        </w:rPr>
        <w:t xml:space="preserve">, </w:t>
      </w:r>
      <w:r>
        <w:rPr>
          <w:rtl w:val="true"/>
        </w:rPr>
        <w:t>מדברות בכך שהנאשם</w:t>
      </w:r>
      <w:r>
        <w:rPr>
          <w:rtl w:val="true"/>
        </w:rPr>
        <w:t xml:space="preserve">, </w:t>
      </w:r>
      <w:r>
        <w:rPr>
          <w:rtl w:val="true"/>
        </w:rPr>
        <w:t xml:space="preserve">שהינו אזרח ותושב ישראל נכנס ביום </w:t>
      </w:r>
      <w:r>
        <w:rPr/>
        <w:t>24.8.09</w:t>
      </w:r>
      <w:r>
        <w:rPr>
          <w:rtl w:val="true"/>
        </w:rPr>
        <w:t xml:space="preserve"> </w:t>
      </w:r>
      <w:r>
        <w:rPr>
          <w:rtl w:val="true"/>
        </w:rPr>
        <w:t>ביחד עם שניים מחבריו</w:t>
      </w:r>
      <w:r>
        <w:rPr>
          <w:rtl w:val="true"/>
        </w:rPr>
        <w:t xml:space="preserve">, </w:t>
      </w:r>
      <w:r>
        <w:rPr>
          <w:rtl w:val="true"/>
        </w:rPr>
        <w:t xml:space="preserve">ממחסום </w:t>
      </w:r>
      <w:r>
        <w:rPr/>
        <w:t>407</w:t>
      </w:r>
      <w:r>
        <w:rPr>
          <w:rtl w:val="true"/>
        </w:rPr>
        <w:t xml:space="preserve"> </w:t>
      </w:r>
      <w:r>
        <w:rPr>
          <w:rtl w:val="true"/>
        </w:rPr>
        <w:t>מכיון ג</w:t>
      </w:r>
      <w:r>
        <w:rPr>
          <w:rtl w:val="true"/>
        </w:rPr>
        <w:t>'</w:t>
      </w:r>
      <w:r>
        <w:rPr>
          <w:rtl w:val="true"/>
        </w:rPr>
        <w:t>נין לשטח מדינת ישראל ברכב מסוג מיצובישי</w:t>
      </w:r>
      <w:r>
        <w:rPr>
          <w:rtl w:val="true"/>
        </w:rPr>
        <w:t xml:space="preserve">. </w:t>
      </w:r>
      <w:r>
        <w:rPr>
          <w:rtl w:val="true"/>
        </w:rPr>
        <w:t>ברכב האמור נמצאו נשק מסוג קלאצ</w:t>
      </w:r>
      <w:r>
        <w:rPr>
          <w:rtl w:val="true"/>
        </w:rPr>
        <w:t>'</w:t>
      </w:r>
      <w:r>
        <w:rPr>
          <w:rtl w:val="true"/>
        </w:rPr>
        <w:t>ניקוב ועמו כוונת טלסקופית עטופה בבד</w:t>
      </w:r>
      <w:r>
        <w:rPr>
          <w:rtl w:val="true"/>
        </w:rPr>
        <w:t xml:space="preserve">, </w:t>
      </w:r>
      <w:r>
        <w:rPr>
          <w:rtl w:val="true"/>
        </w:rPr>
        <w:t>מוסלקים בתוך דופן בדלת הרכב</w:t>
      </w:r>
      <w:r>
        <w:rPr>
          <w:rtl w:val="true"/>
        </w:rPr>
        <w:t xml:space="preserve">. </w:t>
      </w:r>
      <w:r>
        <w:rPr>
          <w:rtl w:val="true"/>
        </w:rPr>
        <w:t>כן נמצאה מתחת למושב הנוסע מחסנית ריקה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END"/>
      <w:bookmarkEnd w:id="7"/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הנאשם הודה בעובדות כתב האישום עוד ביום </w:t>
      </w:r>
      <w:r>
        <w:rPr/>
        <w:t>8.4.10</w:t>
      </w:r>
      <w:r>
        <w:rPr>
          <w:rtl w:val="true"/>
        </w:rPr>
        <w:t xml:space="preserve">, </w:t>
      </w:r>
      <w:r>
        <w:rPr>
          <w:rtl w:val="true"/>
        </w:rPr>
        <w:t>אולם היום ציין כי המחסנית היתה יחד עם הנשק</w:t>
      </w:r>
      <w:r>
        <w:rPr>
          <w:rtl w:val="true"/>
        </w:rPr>
        <w:t xml:space="preserve">. </w:t>
      </w:r>
      <w:r>
        <w:rPr>
          <w:rtl w:val="true"/>
        </w:rPr>
        <w:t>עוד יצוין</w:t>
      </w:r>
      <w:r>
        <w:rPr>
          <w:rtl w:val="true"/>
        </w:rPr>
        <w:t xml:space="preserve">, </w:t>
      </w:r>
      <w:r>
        <w:rPr>
          <w:rtl w:val="true"/>
        </w:rPr>
        <w:t>כי נוכח דברים שאמר הנאשם לקצינת המבחן</w:t>
      </w:r>
      <w:r>
        <w:rPr>
          <w:rtl w:val="true"/>
        </w:rPr>
        <w:t xml:space="preserve">, </w:t>
      </w:r>
      <w:r>
        <w:rPr>
          <w:rtl w:val="true"/>
        </w:rPr>
        <w:t>בררתי כי הנאשם אכן מודה בעובדות כתב האישום</w:t>
      </w:r>
      <w:r>
        <w:rPr>
          <w:rtl w:val="true"/>
        </w:rPr>
        <w:t xml:space="preserve">, </w:t>
      </w:r>
      <w:r>
        <w:rPr>
          <w:rtl w:val="true"/>
        </w:rPr>
        <w:t>ולאחר ששמעתי אותו היום</w:t>
      </w:r>
      <w:r>
        <w:rPr>
          <w:rtl w:val="true"/>
        </w:rPr>
        <w:t xml:space="preserve">, </w:t>
      </w:r>
      <w:r>
        <w:rPr>
          <w:rtl w:val="true"/>
        </w:rPr>
        <w:t>נחה דעתי כי הודאתו האמורה היא הודאה כנה ואמיתית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 העובדה כי מיקום הימצאות המחסנית אינו משפיע על ההרשעה</w:t>
      </w:r>
      <w:r>
        <w:rPr>
          <w:rtl w:val="true"/>
        </w:rPr>
        <w:t xml:space="preserve">, </w:t>
      </w:r>
      <w:r>
        <w:rPr>
          <w:rtl w:val="true"/>
        </w:rPr>
        <w:t>לא ראיתי לתקן את הכרעת 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הוא צעיר לימים</w:t>
      </w:r>
      <w:r>
        <w:rPr>
          <w:rtl w:val="true"/>
        </w:rPr>
        <w:t xml:space="preserve">. </w:t>
      </w:r>
      <w:r>
        <w:rPr>
          <w:rtl w:val="true"/>
        </w:rPr>
        <w:t xml:space="preserve">כבן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לא נרשמו לחובתו הרשעות פליליות כלשהם וזוהי הסתבכותו הראשונה עם החוק</w:t>
      </w:r>
      <w:r>
        <w:rPr>
          <w:rtl w:val="true"/>
        </w:rPr>
        <w:t xml:space="preserve">. </w:t>
      </w:r>
      <w:r>
        <w:rPr>
          <w:rtl w:val="true"/>
        </w:rPr>
        <w:t>תסקיר שירות המבחן אשר הוגש אודות הנאשם</w:t>
      </w:r>
      <w:r>
        <w:rPr>
          <w:rtl w:val="true"/>
        </w:rPr>
        <w:t xml:space="preserve">, </w:t>
      </w:r>
      <w:r>
        <w:rPr>
          <w:rtl w:val="true"/>
        </w:rPr>
        <w:t>מתאר תמונה מורכבת ובוודאי לא מדובר בתסקיר חיובי 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. </w:t>
      </w:r>
      <w:r>
        <w:rPr>
          <w:rtl w:val="true"/>
        </w:rPr>
        <w:t>עם זה</w:t>
      </w:r>
      <w:r>
        <w:rPr>
          <w:rtl w:val="true"/>
        </w:rPr>
        <w:t xml:space="preserve">, </w:t>
      </w:r>
      <w:r>
        <w:rPr>
          <w:rtl w:val="true"/>
        </w:rPr>
        <w:t>האמור בתסקיר אינו שלילי במידה שצריכה לפי השקפתי להטות את הכף לחובת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התקשרו ביניהם בהסדר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לפיו יגזר על הנאשם עונש בן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 בפועל וכן ענישה נלווית</w:t>
      </w:r>
      <w:r>
        <w:rPr>
          <w:rtl w:val="true"/>
        </w:rPr>
        <w:t xml:space="preserve">. </w:t>
      </w:r>
      <w:r>
        <w:rPr>
          <w:rtl w:val="true"/>
        </w:rPr>
        <w:t>לאחר ששמעתי את טענות הצדדים לעונש</w:t>
      </w:r>
      <w:r>
        <w:rPr>
          <w:rtl w:val="true"/>
        </w:rPr>
        <w:t xml:space="preserve">, </w:t>
      </w:r>
      <w:r>
        <w:rPr>
          <w:rtl w:val="true"/>
        </w:rPr>
        <w:t>ועיינתי בפסיקה שהוצגה לי</w:t>
      </w:r>
      <w:r>
        <w:rPr>
          <w:rtl w:val="true"/>
        </w:rPr>
        <w:t xml:space="preserve">, </w:t>
      </w:r>
      <w:r>
        <w:rPr>
          <w:rtl w:val="true"/>
        </w:rPr>
        <w:t>מוצא אני כי ההסדר ראוי הוא</w:t>
      </w:r>
      <w:r>
        <w:rPr>
          <w:rtl w:val="true"/>
        </w:rPr>
        <w:t xml:space="preserve">, </w:t>
      </w:r>
      <w:r>
        <w:rPr>
          <w:rtl w:val="true"/>
        </w:rPr>
        <w:t>אם כי דעתי היא</w:t>
      </w:r>
      <w:r>
        <w:rPr>
          <w:rtl w:val="true"/>
        </w:rPr>
        <w:t xml:space="preserve">, </w:t>
      </w:r>
      <w:r>
        <w:rPr>
          <w:rtl w:val="true"/>
        </w:rPr>
        <w:t>כי נוכח תפיסת הכוונת הטלסקופית יחד עם הנשק ההתקפי</w:t>
      </w:r>
      <w:r>
        <w:rPr>
          <w:rtl w:val="true"/>
        </w:rPr>
        <w:t xml:space="preserve">, </w:t>
      </w:r>
      <w:r>
        <w:rPr>
          <w:rtl w:val="true"/>
        </w:rPr>
        <w:t>ניתן לומר שההסדר הוא על הצד הנמוך</w:t>
      </w:r>
      <w:r>
        <w:rPr>
          <w:rtl w:val="true"/>
        </w:rPr>
        <w:t xml:space="preserve">. </w:t>
      </w:r>
      <w:r>
        <w:rPr>
          <w:rtl w:val="true"/>
        </w:rPr>
        <w:t>אין להתעלם מכך שהנאשם חסך בזמן שיפוטי כאשר הודה במסגרת ההסדר</w:t>
      </w:r>
      <w:r>
        <w:rPr>
          <w:rtl w:val="true"/>
        </w:rPr>
        <w:t xml:space="preserve">, </w:t>
      </w:r>
      <w:r>
        <w:rPr>
          <w:rtl w:val="true"/>
        </w:rPr>
        <w:t>וכן אין להתעלם מן האינטרס הציבורי בכיבוד הסדרי טיעון באופן כללי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יש להתחשב בקושי הראייתי שעמד בפני התביעה עת צריכה היתה לנהל את ההליך הפלילי נגד הנאשם בהסתמך בעיקר על החזקה הקבועה בחוק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 דעתי כי ההסדר בסך הכל ראוי ומאזן נכונה בין האינטרסים השונים ובדעתי לכבדו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החל מיום </w:t>
      </w:r>
      <w:r>
        <w:rPr/>
        <w:t>24.8.09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המועד בו נעצר הנאשם בתיק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שלא יעבור הנאשם בתקופה בת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או כל עבירת 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קנס כספי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ושווים החל ביום </w:t>
      </w:r>
      <w:r>
        <w:rPr/>
        <w:t>1.6.10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בהתאם להסכמת הצדדים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יוחזר הרכב שנתפס מידי הנאשם לידי אחיו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מר אבו בכר מוחמד ת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 xml:space="preserve">ז </w:t>
      </w:r>
      <w:r>
        <w:rPr>
          <w:b/>
          <w:bCs/>
          <w:u w:val="single"/>
        </w:rPr>
        <w:t>066491895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הנשק והמחסנית יחולטו או יושמדו לפי שיקול דעת 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המחוזי מרכז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color w:val="000000"/>
          <w:sz w:val="22"/>
          <w:szCs w:val="22"/>
        </w:rPr>
        <w:t>54678313-2240/09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מיכאל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קרשן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מירי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אלפסי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/Users/liorb/Downloads/study2025-p2/SH-09-2240-264.doc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2240-09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המרכז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מחמוד אבו בכר בן רואידה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2010-05-24T01:35:00Z</dcterms:created>
  <dc:creator> </dc:creator>
  <dc:description/>
  <cp:keywords/>
  <dc:language>en-IL</dc:language>
  <cp:lastModifiedBy>einat</cp:lastModifiedBy>
  <dcterms:modified xsi:type="dcterms:W3CDTF">2010-05-24T13:52:00Z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מחמוד אבו בכר בן רואידה </vt:lpwstr>
  </property>
  <property fmtid="{D5CDD505-2E9C-101B-9397-08002B2CF9AE}" pid="4" name="CITY">
    <vt:lpwstr>כ"ס</vt:lpwstr>
  </property>
  <property fmtid="{D5CDD505-2E9C-101B-9397-08002B2CF9AE}" pid="5" name="DATE">
    <vt:lpwstr>20100523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מיכאל קרשן</vt:lpwstr>
  </property>
  <property fmtid="{D5CDD505-2E9C-101B-9397-08002B2CF9AE}" pid="9" name="LAWYER">
    <vt:lpwstr>שרגנהיים;בויראת עאדל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2240</vt:lpwstr>
  </property>
  <property fmtid="{D5CDD505-2E9C-101B-9397-08002B2CF9AE}" pid="23" name="NEWPARTB">
    <vt:lpwstr/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2240</vt:lpwstr>
  </property>
  <property fmtid="{D5CDD505-2E9C-101B-9397-08002B2CF9AE}" pid="31" name="PROCYEAR">
    <vt:lpwstr>09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09 2240 264 htm</vt:lpwstr>
  </property>
  <property fmtid="{D5CDD505-2E9C-101B-9397-08002B2CF9AE}" pid="34" name="TYPE">
    <vt:lpwstr>3</vt:lpwstr>
  </property>
  <property fmtid="{D5CDD505-2E9C-101B-9397-08002B2CF9AE}" pid="35" name="TYPE_ABS_DATE">
    <vt:lpwstr>380020100523</vt:lpwstr>
  </property>
  <property fmtid="{D5CDD505-2E9C-101B-9397-08002B2CF9AE}" pid="36" name="TYPE_N_DATE">
    <vt:lpwstr>38020100523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