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22588-03-22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גבאלי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יסמין שביט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מחמד גבאלי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בעבירות </w:t>
      </w:r>
      <w:r>
        <w:rPr>
          <w:b/>
          <w:b/>
          <w:bCs/>
          <w:rtl w:val="true"/>
        </w:rPr>
        <w:t xml:space="preserve">החזקת נשק ואביזר נשק לפי </w:t>
      </w:r>
      <w:hyperlink r:id="rId4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15.7.2021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תועד הנאשם מחזיק רובה סער קלאצ</w:t>
      </w:r>
      <w:r>
        <w:rPr>
          <w:rtl w:val="true"/>
        </w:rPr>
        <w:t>'</w:t>
      </w:r>
      <w:r>
        <w:rPr>
          <w:rtl w:val="true"/>
        </w:rPr>
        <w:t>ניקוב ומחסנית תחמושת מתאימה</w:t>
      </w:r>
      <w:r>
        <w:rPr>
          <w:rtl w:val="true"/>
        </w:rPr>
        <w:t xml:space="preserve">, </w:t>
      </w:r>
      <w:r>
        <w:rPr>
          <w:rtl w:val="true"/>
        </w:rPr>
        <w:t>בשטח הסמוך למתחם שבבעלות משפחתו ביישוב טייבה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17.7.22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יופנה לתסקיר שירות המבחן והצדדים יטענו באופן חופשי לעונש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שנות לימוד בבית ספר בטייבה בחוג </w:t>
      </w:r>
      <w:r>
        <w:rPr>
          <w:rtl w:val="true"/>
        </w:rPr>
        <w:t>"</w:t>
      </w:r>
      <w:r>
        <w:rPr>
          <w:rtl w:val="true"/>
        </w:rPr>
        <w:t>ביולוגיה ומדעי הסביבה</w:t>
      </w:r>
      <w:r>
        <w:rPr>
          <w:rtl w:val="true"/>
        </w:rPr>
        <w:t xml:space="preserve">", </w:t>
      </w:r>
      <w:r>
        <w:rPr>
          <w:rtl w:val="true"/>
        </w:rPr>
        <w:t>בתום לימודיו החל לעבוד באטליז בפתח תקווה</w:t>
      </w:r>
      <w:r>
        <w:rPr>
          <w:rtl w:val="true"/>
        </w:rPr>
        <w:t xml:space="preserve">, </w:t>
      </w:r>
      <w:r>
        <w:rPr>
          <w:rtl w:val="true"/>
        </w:rPr>
        <w:t>בו עובד מזה כשלוש שנים עד היום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במקביל לעבודתו</w:t>
      </w:r>
      <w:r>
        <w:rPr>
          <w:rtl w:val="true"/>
        </w:rPr>
        <w:t xml:space="preserve">, </w:t>
      </w:r>
      <w:r>
        <w:rPr>
          <w:rtl w:val="true"/>
        </w:rPr>
        <w:t>נרשם ללימודי הנדסת בניין</w:t>
      </w:r>
      <w:r>
        <w:rPr>
          <w:rtl w:val="true"/>
        </w:rPr>
        <w:t xml:space="preserve">, </w:t>
      </w:r>
      <w:r>
        <w:rPr>
          <w:rtl w:val="true"/>
        </w:rPr>
        <w:t>אך עקב ניהול התיק הפסיק לימודיו</w:t>
      </w:r>
      <w:r>
        <w:rPr>
          <w:rtl w:val="true"/>
        </w:rPr>
        <w:t xml:space="preserve">. </w:t>
      </w:r>
      <w:r>
        <w:rPr>
          <w:rtl w:val="true"/>
        </w:rPr>
        <w:t>הנאשם מאורס לבת זוגו</w:t>
      </w:r>
      <w:r>
        <w:rPr>
          <w:rtl w:val="true"/>
        </w:rPr>
        <w:t xml:space="preserve">, </w:t>
      </w:r>
      <w:r>
        <w:rPr>
          <w:rtl w:val="true"/>
        </w:rPr>
        <w:t>אך נוכח מצבו המשפטי נדחתה החתונה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 לביצוע העבירות</w:t>
      </w:r>
      <w:r>
        <w:rPr>
          <w:rtl w:val="true"/>
        </w:rPr>
        <w:t xml:space="preserve">, </w:t>
      </w:r>
      <w:r>
        <w:rPr>
          <w:rtl w:val="true"/>
        </w:rPr>
        <w:t>קיבל הנאשם אחריות על מעשיו</w:t>
      </w:r>
      <w:r>
        <w:rPr>
          <w:rtl w:val="true"/>
        </w:rPr>
        <w:t xml:space="preserve">, </w:t>
      </w:r>
      <w:r>
        <w:rPr>
          <w:rtl w:val="true"/>
        </w:rPr>
        <w:t>הביע חרטה והבנה לחומרת העבירה והשלכותיה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מצא את הנשק באופן אקראי במהלך שהותו עם חברים בשטח השייך למשפחת מוצאו והצטלם מתוך סקרנות ועיסוק בגבריות</w:t>
      </w:r>
      <w:r>
        <w:rPr>
          <w:rtl w:val="true"/>
        </w:rPr>
        <w:t xml:space="preserve">, </w:t>
      </w:r>
      <w:r>
        <w:rPr>
          <w:rtl w:val="true"/>
        </w:rPr>
        <w:t>ללא מחשבה על השלכות מעשיו</w:t>
      </w:r>
      <w:r>
        <w:rPr>
          <w:rtl w:val="true"/>
        </w:rPr>
        <w:t xml:space="preserve">. </w:t>
      </w:r>
      <w:r>
        <w:rPr>
          <w:rtl w:val="true"/>
        </w:rPr>
        <w:t>הנאשם שלל סכסוכים או איומים על 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ההליך המשפטי</w:t>
      </w:r>
      <w:r>
        <w:rPr>
          <w:rtl w:val="true"/>
        </w:rPr>
        <w:t xml:space="preserve">, </w:t>
      </w:r>
      <w:r>
        <w:rPr>
          <w:rtl w:val="true"/>
        </w:rPr>
        <w:t>ובמיוחד תקופת מעצרו</w:t>
      </w:r>
      <w:r>
        <w:rPr>
          <w:rtl w:val="true"/>
        </w:rPr>
        <w:t xml:space="preserve">, </w:t>
      </w:r>
      <w:r>
        <w:rPr>
          <w:rtl w:val="true"/>
        </w:rPr>
        <w:t>היוו גורמים מרתיעים עבורו</w:t>
      </w:r>
      <w:r>
        <w:rPr>
          <w:rtl w:val="true"/>
        </w:rPr>
        <w:t xml:space="preserve">. </w:t>
      </w:r>
      <w:r>
        <w:rPr>
          <w:rtl w:val="true"/>
        </w:rPr>
        <w:t>כיום מתמקד בתפקוד תעסוקתי ומשפחתי תקין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התרשם כי העבירה בוצעה על רקע חוסר בשלות</w:t>
      </w:r>
      <w:r>
        <w:rPr>
          <w:rtl w:val="true"/>
        </w:rPr>
        <w:t xml:space="preserve">, </w:t>
      </w:r>
      <w:r>
        <w:rPr>
          <w:rtl w:val="true"/>
        </w:rPr>
        <w:t>סקרנות</w:t>
      </w:r>
      <w:r>
        <w:rPr>
          <w:rtl w:val="true"/>
        </w:rPr>
        <w:t xml:space="preserve">, </w:t>
      </w:r>
      <w:r>
        <w:rPr>
          <w:rtl w:val="true"/>
        </w:rPr>
        <w:t>קיום קשרים חברתיים בעייתיים ועיסוק בגבריות</w:t>
      </w:r>
      <w:r>
        <w:rPr>
          <w:rtl w:val="true"/>
        </w:rPr>
        <w:t xml:space="preserve">. </w:t>
      </w:r>
      <w:r>
        <w:rPr>
          <w:rtl w:val="true"/>
        </w:rPr>
        <w:t>נוכח גילו</w:t>
      </w:r>
      <w:r>
        <w:rPr>
          <w:rtl w:val="true"/>
        </w:rPr>
        <w:t xml:space="preserve">, </w:t>
      </w:r>
      <w:r>
        <w:rPr>
          <w:rtl w:val="true"/>
        </w:rPr>
        <w:t>תפקודו התקין לאורך השנים ונכונותו לערוך שינוי חיובי בחייו</w:t>
      </w:r>
      <w:r>
        <w:rPr>
          <w:rtl w:val="true"/>
        </w:rPr>
        <w:t xml:space="preserve">, </w:t>
      </w:r>
      <w:r>
        <w:rPr>
          <w:rtl w:val="true"/>
        </w:rPr>
        <w:t>בא בהמלצה להסתפק בענישת עבודות שירות ברף נמוך ולהעמידו בצו מבחן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שירי</w:t>
      </w:r>
      <w:r>
        <w:rPr>
          <w:rtl w:val="true"/>
        </w:rPr>
        <w:t xml:space="preserve">, </w:t>
      </w:r>
      <w:r>
        <w:rPr>
          <w:rtl w:val="true"/>
        </w:rPr>
        <w:t>עמדה בטיעוניה על הקשיים הראייתיים שעמדו ברקע התיקון של כתב האישום במסגרת הסדר הטיעון</w:t>
      </w:r>
      <w:r>
        <w:rPr>
          <w:rtl w:val="true"/>
        </w:rPr>
        <w:t xml:space="preserve">. </w:t>
      </w:r>
      <w:r>
        <w:rPr>
          <w:rtl w:val="true"/>
        </w:rPr>
        <w:t>עוד עמדה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ופוטנציאל הנזק שעלול היה להיגרם מהחזקת נשק בלתי חוקי</w:t>
      </w:r>
      <w:r>
        <w:rPr>
          <w:rtl w:val="true"/>
        </w:rPr>
        <w:t xml:space="preserve">. </w:t>
      </w:r>
      <w:r>
        <w:rPr>
          <w:rtl w:val="true"/>
        </w:rPr>
        <w:t>עוד הדגישה לחומרה את העובדה שמדובר בנשק התקפי ואת הצורך להחמרה בענישת המחזיקים בו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לפיכך עתרה למתחם ענישה הנע בין </w:t>
      </w:r>
      <w:r>
        <w:rPr>
          <w:b/>
          <w:bCs/>
        </w:rPr>
        <w:t>48-24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באשר לנסיבות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לשיטתה התמונה העולה מהתסקיר היא של נאשם הממזער מחומרת העבירות</w:t>
      </w:r>
      <w:r>
        <w:rPr>
          <w:rtl w:val="true"/>
        </w:rPr>
        <w:t xml:space="preserve">, </w:t>
      </w:r>
      <w:r>
        <w:rPr>
          <w:rtl w:val="true"/>
        </w:rPr>
        <w:t>גרסתו לפיה מצא את הנשק מלמדת על אי נטילת אחריות משמעותית</w:t>
      </w:r>
      <w:r>
        <w:rPr>
          <w:rtl w:val="true"/>
        </w:rPr>
        <w:t xml:space="preserve">. </w:t>
      </w:r>
      <w:r>
        <w:rPr>
          <w:rtl w:val="true"/>
        </w:rPr>
        <w:t>לדבריה אמנם נתוניו טובים אך היות ולא עבר טיפול אין מקום לחריגה מהמתחם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בנסיבות אלו עתרה להשית עליו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בניכוי ימי מעצרו לצד ענישה נלווית</w:t>
      </w:r>
      <w:r>
        <w:rPr>
          <w:b/>
          <w:bCs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נאטור</w:t>
      </w:r>
      <w:r>
        <w:rPr>
          <w:rtl w:val="true"/>
        </w:rPr>
        <w:t xml:space="preserve">, </w:t>
      </w:r>
      <w:r>
        <w:rPr>
          <w:rtl w:val="true"/>
        </w:rPr>
        <w:t>הפנה לתיקון כתב האישום לקולה ולנסיבות העבירה</w:t>
      </w:r>
      <w:r>
        <w:rPr>
          <w:rtl w:val="true"/>
        </w:rPr>
        <w:t xml:space="preserve">, </w:t>
      </w:r>
      <w:r>
        <w:rPr>
          <w:rtl w:val="true"/>
        </w:rPr>
        <w:t>שהן לשיטתו ברף הנמוך של החזקת נשק – תיעוד מצולם של החזקה רגעית של נשק שאינו שייך לו</w:t>
      </w:r>
      <w:r>
        <w:rPr>
          <w:rtl w:val="true"/>
        </w:rPr>
        <w:t xml:space="preserve">, </w:t>
      </w:r>
      <w:r>
        <w:rPr>
          <w:rtl w:val="true"/>
        </w:rPr>
        <w:t>ולפיכך עתר למתחם ענישה מתון יותר</w:t>
      </w:r>
      <w:r>
        <w:rPr>
          <w:rtl w:val="true"/>
        </w:rPr>
        <w:t xml:space="preserve">. </w:t>
      </w:r>
      <w:r>
        <w:rPr>
          <w:rtl w:val="true"/>
        </w:rPr>
        <w:t>עוד טען כי הנאשם לא עשה שימוש בנשק ולא התכוון לכך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בנסיבות אלו עתר למתחם ענישה הנע בין </w:t>
      </w:r>
      <w:r>
        <w:rPr>
          <w:b/>
          <w:bCs/>
        </w:rPr>
        <w:t>30-11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ובהתחשב בגילו הצעיר</w:t>
      </w:r>
      <w:r>
        <w:rPr>
          <w:rtl w:val="true"/>
        </w:rPr>
        <w:t xml:space="preserve">, </w:t>
      </w:r>
      <w:r>
        <w:rPr>
          <w:rtl w:val="true"/>
        </w:rPr>
        <w:t>עברו הנקי</w:t>
      </w:r>
      <w:r>
        <w:rPr>
          <w:rtl w:val="true"/>
        </w:rPr>
        <w:t xml:space="preserve">, </w:t>
      </w:r>
      <w:r>
        <w:rPr>
          <w:rtl w:val="true"/>
        </w:rPr>
        <w:t>שהייתו במעצר משך חודש ימים</w:t>
      </w:r>
      <w:r>
        <w:rPr>
          <w:rtl w:val="true"/>
        </w:rPr>
        <w:t xml:space="preserve">, </w:t>
      </w:r>
      <w:r>
        <w:rPr>
          <w:rtl w:val="true"/>
        </w:rPr>
        <w:t>עמידתו ללא הפרות בתנאים מגבילים</w:t>
      </w:r>
      <w:r>
        <w:rPr>
          <w:rtl w:val="true"/>
        </w:rPr>
        <w:t xml:space="preserve">, </w:t>
      </w:r>
      <w:r>
        <w:rPr>
          <w:rtl w:val="true"/>
        </w:rPr>
        <w:t>עתר לחרוג מהמתחם מטעמי שיקום ולהשית עליו עבודות שירות לתקופה של תשעה חודשים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בחר שלא להוסיף על דברי בא כוחו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 הגישו אסופת פסיקה לתמיכתה בעתירתם העונשית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רבות נכתב על חומרת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קלות כחמורות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ופגיעתן הקשה בערכים מוגנים של שלום הציבור ובטחונו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tl w:val="true"/>
        </w:rPr>
        <w:t>מגמת הפסיקה בשנים האחרונות מלמדת על החמרה בענישה לצורך מיגור עבירות אלו</w:t>
      </w:r>
      <w:r>
        <w:rPr>
          <w:rtl w:val="true"/>
        </w:rPr>
        <w:t xml:space="preserve">, </w:t>
      </w:r>
      <w:r>
        <w:rPr>
          <w:rtl w:val="true"/>
        </w:rPr>
        <w:t>תוך מתן משקל בכורה לשיקולי הרתעה</w:t>
      </w:r>
      <w:r>
        <w:rPr>
          <w:rtl w:val="true"/>
        </w:rPr>
        <w:t xml:space="preserve">. </w:t>
      </w:r>
      <w:r>
        <w:rPr>
          <w:rtl w:val="true"/>
        </w:rPr>
        <w:t>מגמה זו אחידה ועקבית ביחס לכלל עברייני הנשק</w:t>
      </w:r>
      <w:r>
        <w:rPr>
          <w:rtl w:val="true"/>
        </w:rPr>
        <w:t xml:space="preserve">, </w:t>
      </w:r>
      <w:r>
        <w:rPr>
          <w:rtl w:val="true"/>
        </w:rPr>
        <w:t>אף כשהם נעדרי עבר פלילי</w:t>
      </w:r>
      <w:r>
        <w:rPr>
          <w:rtl w:val="true"/>
        </w:rPr>
        <w:t xml:space="preserve">, </w:t>
      </w:r>
      <w:r>
        <w:rPr>
          <w:rtl w:val="true"/>
        </w:rPr>
        <w:t>והאירוע הוא בגדר חריג בנוף חייהם הנורמטיבי</w:t>
      </w:r>
      <w:r>
        <w:rPr>
          <w:rtl w:val="true"/>
        </w:rPr>
        <w:t xml:space="preserve">. </w:t>
      </w:r>
      <w:r>
        <w:rPr>
          <w:rtl w:val="true"/>
        </w:rPr>
        <w:t>נוכח מימדיה המדאיגים של התופעה שהפכה זה מכבר למכת מדינה נרתמו גם בתי המשפט למאבק למיגורה באמצעות ענישה מרתיעה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מצויים אנו לעת הזאת במצב חירום של ממש בעניין עבירות נשק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עראר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15.12.21</w:t>
      </w:r>
      <w:r>
        <w:rPr>
          <w:rtl w:val="true"/>
        </w:rPr>
        <w:t>);</w:t>
      </w:r>
      <w:r>
        <w:rPr>
          <w:rFonts w:eastAsia="Calibri"/>
          <w:rtl w:val="true"/>
        </w:rPr>
        <w:t xml:space="preserve"> </w:t>
      </w:r>
      <w:hyperlink r:id="rId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/>
            <w:color w:val="0000FF"/>
            <w:u w:val="single"/>
          </w:rPr>
          <w:t>587/22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עדאב אבו נאעסה 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 ישראל</w:t>
      </w:r>
      <w:r>
        <w:rPr>
          <w:rFonts w:eastAsia="Calibri"/>
          <w:rtl w:val="true"/>
        </w:rPr>
        <w:t xml:space="preserve"> פסקה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22.5.2022</w:t>
      </w:r>
      <w:r>
        <w:rPr>
          <w:rFonts w:eastAsia="Calibri"/>
          <w:rtl w:val="true"/>
        </w:rPr>
        <w:t>);</w:t>
      </w:r>
      <w:r>
        <w:rPr>
          <w:rtl w:val="true"/>
        </w:rPr>
        <w:t xml:space="preserve"> (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2482/22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קדורה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פסקה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14.4.2022</w:t>
      </w:r>
      <w:r>
        <w:rPr>
          <w:rFonts w:eastAsia="Times New Roman" w:cs="Times New Roman" w:ascii="Times New Roman" w:hAnsi="Times New Roman"/>
          <w:rtl w:val="true"/>
        </w:rPr>
        <w:t>);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/>
        </w:rPr>
      </w:pPr>
      <w:r>
        <w:rPr>
          <w:rFonts w:ascii="Calibri" w:hAnsi="Calibri"/>
          <w:rtl w:val="true"/>
        </w:rPr>
        <w:t>מגמה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ביטויה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בחקיקה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140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rtl w:val="true"/>
        </w:rPr>
        <w:t>לחוק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נקבעו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מינימום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הן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שככלל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שיושת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אלו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יפחת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מרבע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המרבי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לעבירה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התיקון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נכנס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לתוקף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ascii="Calibri" w:hAnsi="Calibri"/>
          <w:rtl w:val="true"/>
        </w:rPr>
        <w:t>מועד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רוחו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שבפנינו</w:t>
      </w:r>
      <w:r>
        <w:rPr>
          <w:rFonts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Calibri" w:hAnsi="Calibri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ascii="Calibri" w:hAnsi="Calibri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עמומות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לביצועה</w:t>
      </w:r>
      <w:r>
        <w:rPr>
          <w:rFonts w:ascii="Calibri" w:hAnsi="Calibri"/>
          <w:rtl w:val="true"/>
        </w:rPr>
        <w:t xml:space="preserve">, </w:t>
      </w:r>
      <w:r>
        <w:rPr>
          <w:rtl w:val="true"/>
        </w:rPr>
        <w:t xml:space="preserve">הנאשם החזיק </w:t>
      </w:r>
      <w:r>
        <w:rPr>
          <w:rFonts w:ascii="Calibri" w:hAnsi="Calibri"/>
          <w:rtl w:val="true"/>
        </w:rPr>
        <w:t>רובה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סער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קלאצ</w:t>
      </w:r>
      <w:r>
        <w:rPr>
          <w:rFonts w:ascii="Calibri" w:hAnsi="Calibri"/>
          <w:rtl w:val="true"/>
        </w:rPr>
        <w:t>'</w:t>
      </w:r>
      <w:r>
        <w:rPr>
          <w:rFonts w:ascii="Calibri" w:hAnsi="Calibri"/>
          <w:rtl w:val="true"/>
        </w:rPr>
        <w:t>ניקוב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ומחסנית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תואמת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התקפי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הגלום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גבוה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במיוחד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ותועד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בשטח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פתוח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הסמוך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לביתו</w:t>
      </w:r>
      <w:r>
        <w:rPr>
          <w:rFonts w:ascii="Calibri" w:hAnsi="Calibri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חומרת עבירות ההחזקה טמונה בסיכון הגלום בהן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סיכן את שלומו וסביבתו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זמינותו של נשק מעלה את הסיכויים כי ייעשה בו שימוש למטרות פסולות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טענתו בתסקירו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מצא את הנשק באקראי אינה מגובה בראיות וממילא אין בה כדי להפחית מחומרת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מנגד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הנשק לא היה טעון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החזיק בו במקום הסמוך למגוריו כדי להצטלם איתו</w:t>
      </w:r>
      <w:r>
        <w:rPr>
          <w:rFonts w:eastAsia="Times New Roman"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eastAsia="Times New Roman" w:cs="Times New Roman"/>
          <w:rtl w:val="true"/>
        </w:rPr>
        <w:t>אניח לטובתו כי הנשק לא שייך לו וכי החזיקו לזמן קצר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בערך המוגן מובילה למסקנה כי הפגיעה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 לכך שמדובר בנשק התקפי שאינו טעון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ולכך שאין אינדיקציה לשימוש בנשק או לתכנון עבירה פלילית באמצעותו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בפסיקה ענפה הושתו על מחזיקי הנשק עונשי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ברף חומרה 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וכוללת עונשי מאסר ממש</w:t>
      </w:r>
      <w:r>
        <w:rPr>
          <w:rtl w:val="true"/>
        </w:rPr>
        <w:t xml:space="preserve">, </w:t>
      </w:r>
      <w:r>
        <w:rPr>
          <w:rtl w:val="true"/>
        </w:rPr>
        <w:t>שאינם ניתנים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בבחינת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 מחזיקים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למאסר נשלחים</w:t>
      </w:r>
      <w:r>
        <w:rPr>
          <w:rtl w:val="true"/>
        </w:rPr>
        <w:t>"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/>
        <w:t>14.04.2022</w:t>
      </w:r>
      <w:r>
        <w:rPr>
          <w:rtl w:val="true"/>
        </w:rPr>
        <w:t>)).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28.12.2021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הורשע נאשם בהחזקת רובה סער דמוי </w:t>
      </w:r>
      <w:r>
        <w:rPr>
          <w:rFonts w:eastAsia="Times New Roman" w:cs="Times New Roman" w:ascii="Times New Roman" w:hAnsi="Times New Roman"/>
        </w:rPr>
        <w:t>M-16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בביתו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חיוביות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המליץ להסתפק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קבע מתחם ענישה שנע בין </w:t>
      </w:r>
      <w:r>
        <w:rPr>
          <w:rFonts w:eastAsia="Times New Roman" w:cs="Times New Roman" w:ascii="Times New Roman" w:hAnsi="Times New Roman"/>
        </w:rPr>
        <w:t>6-24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וגזר עליו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המדינה על קולת העונש התקבל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העליון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סולברג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פסק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המתחם שנקבע והעונש שהוטל מקל עם הנאשם יתר על המידה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גם בהתחשב בנסיבותיו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עונשו הוכפל והועמד על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166/22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טאהא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1.6.2022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הורשע נאשם בהחזקת תת מקלע מאולתר ברכבו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החזיקו לבקשת אחר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הנשק נמצא בחיפוש ערך שוטר ברכב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נקבע מתחם הנע בין </w:t>
      </w:r>
      <w:r>
        <w:rPr>
          <w:rFonts w:eastAsia="Times New Roman" w:cs="Times New Roman" w:ascii="Times New Roman" w:hAnsi="Times New Roman"/>
        </w:rPr>
        <w:t>40-20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 ללא עבר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נדון למאסר בן </w:t>
      </w:r>
      <w:r>
        <w:rPr>
          <w:rFonts w:eastAsia="Times New Roman" w:cs="Times New Roman" w:ascii="Times New Roman" w:hAnsi="Times New Roman"/>
        </w:rPr>
        <w:t>22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ערעורו נדחה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עסא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11.7.2019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נדחה ערעורו של 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שהורשע בהחזקת נשק אוטומטי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קבע מתחם עונשי שנע בין </w:t>
      </w:r>
      <w:r>
        <w:rPr>
          <w:rFonts w:eastAsia="Times New Roman" w:cs="Times New Roman" w:ascii="Times New Roman" w:hAnsi="Times New Roman"/>
        </w:rPr>
        <w:t>15-36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עבר בעל סיכויי שיקום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נגזרו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פ </w:t>
      </w:r>
      <w:r>
        <w:rPr>
          <w:rFonts w:eastAsia="Times New Roman" w:cs="Times New Roman" w:ascii="Times New Roman" w:hAnsi="Times New Roman"/>
        </w:rPr>
        <w:t>3850/20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 מוגרבי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29.11.2020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הורשע הנאשם בהחזקת רובה סער במתחם ביתו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קובו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קבע מתחם ענישה שנע בין </w:t>
      </w:r>
      <w:r>
        <w:rPr>
          <w:rFonts w:eastAsia="Times New Roman" w:cs="Times New Roman" w:ascii="Times New Roman" w:hAnsi="Times New Roman"/>
        </w:rPr>
        <w:t>12-36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וגזר עליו </w:t>
      </w:r>
      <w:r>
        <w:rPr>
          <w:rFonts w:eastAsia="Times New Roman" w:cs="Times New Roman" w:ascii="Times New Roman" w:hAnsi="Times New Roman"/>
        </w:rPr>
        <w:t>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ערעורו נדחה ואף נקבע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הענישה שהושתה עליו הינה על הצד המקל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42197-05-22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15.9.2022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42106-01-22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וחידי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13.2.2023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MP5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עוד מייחסת הפסיקה משנה חומרה לעבירות המבוצעות בנשק התקפי מסוג רובה סער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נשק ארוך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אוטומטי ובעל פוטנציאל קטלני גבוה</w:t>
      </w:r>
      <w:r>
        <w:rPr>
          <w:rFonts w:cs="Times New Roman" w:ascii="Times New Roman" w:hAnsi="Times New Roman"/>
          <w:b/>
          <w:bCs/>
          <w:rtl w:val="true"/>
        </w:rPr>
        <w:t>" (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1695/22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מוחמד גנאים ואח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29.3.2022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r>
        <w:rPr>
          <w:rtl w:val="true"/>
        </w:rPr>
        <w:t>ענין נחאש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ומידת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מתחם ענישה שנע </w:t>
      </w:r>
      <w:r>
        <w:rPr>
          <w:b/>
          <w:b/>
          <w:bCs/>
          <w:rtl w:val="true"/>
        </w:rPr>
        <w:t xml:space="preserve">בין </w:t>
      </w:r>
      <w:r>
        <w:rPr>
          <w:b/>
          <w:bCs/>
        </w:rPr>
        <w:t>30-15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ההגנה מבקשת לאמץ את המלצת שירות המבחן ולהסתפק בענישת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 טובים</w:t>
      </w:r>
      <w:r>
        <w:rPr>
          <w:rtl w:val="true"/>
        </w:rPr>
        <w:t xml:space="preserve">, </w:t>
      </w:r>
      <w:r>
        <w:rPr>
          <w:rtl w:val="true"/>
        </w:rPr>
        <w:t xml:space="preserve">חרף גילו הצעיר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) </w:t>
      </w:r>
      <w:r>
        <w:rPr>
          <w:rtl w:val="true"/>
        </w:rPr>
        <w:t>שומר על רצף תעסוקתי יציב</w:t>
      </w:r>
      <w:r>
        <w:rPr>
          <w:rtl w:val="true"/>
        </w:rPr>
        <w:t xml:space="preserve">, </w:t>
      </w:r>
      <w:r>
        <w:rPr>
          <w:rtl w:val="true"/>
        </w:rPr>
        <w:t>וצפוי להינשא בקרוב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היה עצור לראשונה בחייו במשך כחודש ימים</w:t>
      </w:r>
      <w:r>
        <w:rPr>
          <w:rtl w:val="true"/>
        </w:rPr>
        <w:t xml:space="preserve">, </w:t>
      </w:r>
      <w:r>
        <w:rPr>
          <w:rtl w:val="true"/>
        </w:rPr>
        <w:t>שהייתו קשתה עליו והותירה בו טראומה</w:t>
      </w:r>
      <w:r>
        <w:rPr>
          <w:rtl w:val="true"/>
        </w:rPr>
        <w:t xml:space="preserve">. </w:t>
      </w:r>
      <w:r>
        <w:rPr>
          <w:rtl w:val="true"/>
        </w:rPr>
        <w:t>תסקירו חיובי אך אינו כולל שילוב בהליכים טיפוליים</w:t>
      </w:r>
      <w:r>
        <w:rPr>
          <w:rtl w:val="true"/>
        </w:rPr>
        <w:t xml:space="preserve">, </w:t>
      </w:r>
      <w:r>
        <w:rPr>
          <w:rtl w:val="true"/>
        </w:rPr>
        <w:t>ההמלצה להסתפק בענישת עבודות שירות אינה נובעת מטעמים שיקומיים אלא מבוססת על נתוניו הטובים</w:t>
      </w:r>
      <w:r>
        <w:rPr>
          <w:rtl w:val="true"/>
        </w:rPr>
        <w:t xml:space="preserve">. </w:t>
      </w:r>
      <w:r>
        <w:rPr>
          <w:rtl w:val="true"/>
        </w:rPr>
        <w:t>הנאשם לא שולב בטיפול כלשהו בשירות המבחן ונראה כי לא ממש זקוק לו</w:t>
      </w:r>
      <w:r>
        <w:rPr>
          <w:rtl w:val="true"/>
        </w:rPr>
        <w:t xml:space="preserve">, </w:t>
      </w:r>
      <w:r>
        <w:rPr>
          <w:rtl w:val="true"/>
        </w:rPr>
        <w:t>ניכר כי נעדר דפוסים עברייניים</w:t>
      </w:r>
      <w:r>
        <w:rPr>
          <w:rtl w:val="true"/>
        </w:rPr>
        <w:t xml:space="preserve">, </w:t>
      </w:r>
      <w:r>
        <w:rPr>
          <w:rtl w:val="true"/>
        </w:rPr>
        <w:t>כשהעבירה בוצעה על רקע פזיזות וחוסר שיקול דעת</w:t>
      </w:r>
      <w:r>
        <w:rPr>
          <w:rtl w:val="true"/>
        </w:rPr>
        <w:t xml:space="preserve">. </w:t>
      </w:r>
      <w:r>
        <w:rPr>
          <w:rtl w:val="true"/>
        </w:rPr>
        <w:t>נתוניו הטובים והרקע לביצוע מעשיו אינם שונים מנתוניהם של נאשמים רבים אחרים שנדונו בתקופה האחרונה בגין עבירות נשק</w:t>
      </w:r>
      <w:r>
        <w:rPr>
          <w:rtl w:val="true"/>
        </w:rPr>
        <w:t xml:space="preserve">. </w:t>
      </w:r>
      <w:r>
        <w:rPr>
          <w:rtl w:val="true"/>
        </w:rPr>
        <w:t>רובם של עברייני הנשק בשנים האחרונות מחזיקים במידות טובות</w:t>
      </w:r>
      <w:r>
        <w:rPr>
          <w:rtl w:val="true"/>
        </w:rPr>
        <w:t xml:space="preserve">, </w:t>
      </w:r>
      <w:r>
        <w:rPr>
          <w:rtl w:val="true"/>
        </w:rPr>
        <w:t>בנים למשפחות נורמטיביות</w:t>
      </w:r>
      <w:r>
        <w:rPr>
          <w:rtl w:val="true"/>
        </w:rPr>
        <w:t xml:space="preserve">, </w:t>
      </w:r>
      <w:r>
        <w:rPr>
          <w:rtl w:val="true"/>
        </w:rPr>
        <w:t>המבצעים את העבירות על רקע נגישות וזמינות רבה של כלי נשק במגזר</w:t>
      </w:r>
      <w:r>
        <w:rPr>
          <w:rtl w:val="true"/>
        </w:rPr>
        <w:t xml:space="preserve">, </w:t>
      </w:r>
      <w:r>
        <w:rPr>
          <w:rtl w:val="true"/>
        </w:rPr>
        <w:t>ולצורך שיפור תדמיתם וחיזוק ביטחונם העצמי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בטיעוניו לפסיקה מקלה</w:t>
      </w:r>
      <w:r>
        <w:rPr>
          <w:rtl w:val="true"/>
        </w:rPr>
        <w:t xml:space="preserve">, </w:t>
      </w:r>
      <w:r>
        <w:rPr>
          <w:rtl w:val="true"/>
        </w:rPr>
        <w:t>חלקה מהתקופה האחרונה שבה ביכר בית המשפט העליון את שיקולי שיקום עבריין הנשק על פני שליחתו למאסר</w:t>
      </w:r>
      <w:r>
        <w:rPr>
          <w:rtl w:val="true"/>
        </w:rPr>
        <w:t xml:space="preserve">. </w:t>
      </w:r>
      <w:r>
        <w:rPr>
          <w:rtl w:val="true"/>
        </w:rPr>
        <w:t>אלא שברובם ככולם</w:t>
      </w:r>
      <w:r>
        <w:rPr>
          <w:rtl w:val="true"/>
        </w:rPr>
        <w:t xml:space="preserve">, </w:t>
      </w:r>
      <w:r>
        <w:rPr>
          <w:rtl w:val="true"/>
        </w:rPr>
        <w:t>בניגוד למקרה שבפנינו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מדובר במקרים חריגים ומיוחדים</w:t>
      </w:r>
      <w:r>
        <w:rPr>
          <w:rtl w:val="true"/>
        </w:rPr>
        <w:t xml:space="preserve">. </w:t>
      </w:r>
      <w:r>
        <w:rPr>
          <w:rtl w:val="true"/>
        </w:rPr>
        <w:t>כך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16.2.23</w:t>
      </w:r>
      <w:r>
        <w:rPr>
          <w:rtl w:val="true"/>
        </w:rPr>
        <w:t xml:space="preserve">), </w:t>
      </w:r>
      <w:r>
        <w:rPr>
          <w:rtl w:val="true"/>
        </w:rPr>
        <w:t>נקבע על בסיס נסיבותיו האישיות הייחודיות של המערער וקשיים הראייתיים שהובילו לתיקון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במקרה </w:t>
      </w:r>
      <w:r>
        <w:rPr>
          <w:rtl w:val="true"/>
        </w:rPr>
        <w:t>"</w:t>
      </w:r>
      <w:r>
        <w:rPr>
          <w:rtl w:val="true"/>
        </w:rPr>
        <w:t>מאוד מיוחד</w:t>
      </w:r>
      <w:r>
        <w:rPr>
          <w:rtl w:val="true"/>
        </w:rPr>
        <w:t xml:space="preserve">" </w:t>
      </w:r>
      <w:r>
        <w:rPr>
          <w:rtl w:val="true"/>
        </w:rPr>
        <w:t>המצדיק הקלה בעונש</w:t>
      </w:r>
      <w:r>
        <w:rPr>
          <w:rtl w:val="true"/>
        </w:rPr>
        <w:t xml:space="preserve">, </w:t>
      </w:r>
      <w:r>
        <w:rPr>
          <w:rtl w:val="true"/>
        </w:rPr>
        <w:t>והעמידו על תשעה חודשי עבודות שירות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30.12.2020</w:t>
      </w:r>
      <w:r>
        <w:rPr>
          <w:rtl w:val="true"/>
        </w:rPr>
        <w:t xml:space="preserve">) </w:t>
      </w:r>
      <w:r>
        <w:rPr>
          <w:rtl w:val="true"/>
        </w:rPr>
        <w:t xml:space="preserve">התקבל ערעורו של נאשם בעבירה של נשיאת נשק והובלתו שנגזרו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מצא את נסיבותיו האישיות </w:t>
      </w:r>
      <w:r>
        <w:rPr>
          <w:rtl w:val="true"/>
        </w:rPr>
        <w:t>(</w:t>
      </w:r>
      <w:r>
        <w:rPr>
          <w:rtl w:val="true"/>
        </w:rPr>
        <w:t>עבר נקי</w:t>
      </w:r>
      <w:r>
        <w:rPr>
          <w:rtl w:val="true"/>
        </w:rPr>
        <w:t xml:space="preserve">, </w:t>
      </w:r>
      <w:r>
        <w:rPr>
          <w:rtl w:val="true"/>
        </w:rPr>
        <w:t>פוסט טראומה עקב פציעה במהלך שירותו הצבאי והמלצת שירות המבחן</w:t>
      </w:r>
      <w:r>
        <w:rPr>
          <w:rtl w:val="true"/>
        </w:rPr>
        <w:t xml:space="preserve">) </w:t>
      </w:r>
      <w:r>
        <w:rPr>
          <w:rtl w:val="true"/>
        </w:rPr>
        <w:t>ככזה המלמד על מקרה חריג שבחריגים המצדיק לאמץ את המלצת שירות המבחן ועונשו הופחת לתשעה חודשי עבודות שירות</w:t>
      </w:r>
      <w:r>
        <w:rPr>
          <w:rtl w:val="true"/>
        </w:rPr>
        <w:t xml:space="preserve">; 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1.9.2019</w:t>
      </w:r>
      <w:r>
        <w:rPr>
          <w:rtl w:val="true"/>
        </w:rPr>
        <w:t xml:space="preserve">) </w:t>
      </w:r>
      <w:r>
        <w:rPr>
          <w:rtl w:val="true"/>
        </w:rPr>
        <w:t>הלך שוב בית המשפט העליון כברת דרך לקראת נאשם שהורשע בהחזקת אקדח ומחסנית ריקה בביתו ונדון לעשרה חודשי מאסר</w:t>
      </w:r>
      <w:r>
        <w:rPr>
          <w:rtl w:val="true"/>
        </w:rPr>
        <w:t xml:space="preserve">, </w:t>
      </w:r>
      <w:r>
        <w:rPr>
          <w:rtl w:val="true"/>
        </w:rPr>
        <w:t>הקל בעונשו והסתפק בתשעה חודשי עבודות שירות</w:t>
      </w:r>
      <w:r>
        <w:rPr>
          <w:rtl w:val="true"/>
        </w:rPr>
        <w:t xml:space="preserve">. </w:t>
      </w:r>
      <w:r>
        <w:rPr>
          <w:rtl w:val="true"/>
        </w:rPr>
        <w:t>גם בעניינו של נאשם זה נקבעו נסיבות מיוחדות</w:t>
      </w:r>
      <w:r>
        <w:rPr>
          <w:rtl w:val="true"/>
        </w:rPr>
        <w:t xml:space="preserve">, </w:t>
      </w:r>
      <w:r>
        <w:rPr>
          <w:rtl w:val="true"/>
        </w:rPr>
        <w:t>כשמעבר לנתוניו החיוביים והמלצת שירות המבחן</w:t>
      </w:r>
      <w:r>
        <w:rPr>
          <w:rtl w:val="true"/>
        </w:rPr>
        <w:t xml:space="preserve">, </w:t>
      </w:r>
      <w:r>
        <w:rPr>
          <w:rtl w:val="true"/>
        </w:rPr>
        <w:t>ניתן משקל למחיר אישי כבד ששילם בגין שיתוף פעולה עם רשויות החוק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לאחר שבחנתי את כלל השיקולים</w:t>
      </w:r>
      <w:r>
        <w:rPr>
          <w:rtl w:val="true"/>
        </w:rPr>
        <w:t xml:space="preserve">, </w:t>
      </w:r>
      <w:r>
        <w:rPr>
          <w:rtl w:val="true"/>
        </w:rPr>
        <w:t>מצאתי שיש בכוחם של נתוני הנאשם ופגיעת המאסר בו ובמשפחתו כדי לבסס את מיקום עונשו בתחתית מתחם הענישה אך לא כדי להביא לחריגה ממנו והסתפקות בענישה שאינה מאסר ממש</w:t>
      </w:r>
      <w:r>
        <w:rPr>
          <w:rtl w:val="true"/>
        </w:rPr>
        <w:t xml:space="preserve">.  </w:t>
      </w:r>
      <w:r>
        <w:rPr>
          <w:rtl w:val="true"/>
        </w:rPr>
        <w:t>צורך השעה הוא להחמיר בענישה בגין עבירות נשק</w:t>
      </w:r>
      <w:r>
        <w:rPr>
          <w:rtl w:val="true"/>
        </w:rPr>
        <w:t xml:space="preserve">, </w:t>
      </w:r>
      <w:r>
        <w:rPr>
          <w:rtl w:val="true"/>
        </w:rPr>
        <w:t>תוך מתן משקל בכורה לשיקולי הרתעה</w:t>
      </w:r>
      <w:r>
        <w:rPr>
          <w:rtl w:val="true"/>
        </w:rPr>
        <w:t xml:space="preserve">, </w:t>
      </w:r>
      <w:r>
        <w:rPr>
          <w:rtl w:val="true"/>
        </w:rPr>
        <w:t>אף אם הנאשמים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עוד אתחשב בנישואיו הצפויים ואשית עליו קנס מתון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לאור האמור לעיל אני גוזרת על הנאשם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</w:t>
      </w:r>
      <w:r>
        <w:rPr>
          <w:rtl w:val="true"/>
        </w:rPr>
        <w:t xml:space="preserve">בניכוי ימי מעצרו </w:t>
      </w:r>
      <w:r>
        <w:rPr/>
        <w:t>7.3.22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4.4.22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בשלושה תשלומים שווים ורצופים החל מיום </w:t>
      </w:r>
      <w:r>
        <w:rPr/>
        <w:t>2.7.23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הנאשם יתייצב לריצוי  מאסרו ביום </w:t>
      </w:r>
      <w:r>
        <w:rPr/>
        <w:t>26.6.23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22588-03-22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גבאלי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513376" TargetMode="External"/><Relationship Id="rId7" Type="http://schemas.openxmlformats.org/officeDocument/2006/relationships/hyperlink" Target="http://www.nevo.co.il/case/28268880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28513828" TargetMode="External"/><Relationship Id="rId16" Type="http://schemas.openxmlformats.org/officeDocument/2006/relationships/hyperlink" Target="http://www.nevo.co.il/case/28152132" TargetMode="External"/><Relationship Id="rId17" Type="http://schemas.openxmlformats.org/officeDocument/2006/relationships/hyperlink" Target="http://www.nevo.co.il/case/28229995" TargetMode="External"/><Relationship Id="rId18" Type="http://schemas.openxmlformats.org/officeDocument/2006/relationships/hyperlink" Target="http://www.nevo.co.il/case/25528737" TargetMode="External"/><Relationship Id="rId19" Type="http://schemas.openxmlformats.org/officeDocument/2006/relationships/hyperlink" Target="http://www.nevo.co.il/case/28621153" TargetMode="External"/><Relationship Id="rId20" Type="http://schemas.openxmlformats.org/officeDocument/2006/relationships/hyperlink" Target="http://www.nevo.co.il/case/28257427" TargetMode="External"/><Relationship Id="rId21" Type="http://schemas.openxmlformats.org/officeDocument/2006/relationships/hyperlink" Target="http://www.nevo.co.il/case/28384637" TargetMode="External"/><Relationship Id="rId22" Type="http://schemas.openxmlformats.org/officeDocument/2006/relationships/hyperlink" Target="http://www.nevo.co.il/case/21472788" TargetMode="External"/><Relationship Id="rId23" Type="http://schemas.openxmlformats.org/officeDocument/2006/relationships/hyperlink" Target="http://www.nevo.co.il/case/28963593" TargetMode="External"/><Relationship Id="rId24" Type="http://schemas.openxmlformats.org/officeDocument/2006/relationships/hyperlink" Target="http://www.nevo.co.il/case/26934681" TargetMode="External"/><Relationship Id="rId25" Type="http://schemas.openxmlformats.org/officeDocument/2006/relationships/hyperlink" Target="http://www.nevo.co.il/case/25637368" TargetMode="External"/><Relationship Id="rId26" Type="http://schemas.openxmlformats.org/officeDocument/2006/relationships/hyperlink" Target="http://www.nevo.co.il/case/28268880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גבאלי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27513376;28268880:2;28513828:2;27894608;27911638;28152132:2;28452933;27305799;5568354;28229995;25528737;28621153;28257427;28384637;21472788;28963593;26934681;25637368</vt:lpwstr>
  </property>
  <property fmtid="{D5CDD505-2E9C-101B-9397-08002B2CF9AE}" pid="9" name="CITY">
    <vt:lpwstr>מרכז</vt:lpwstr>
  </property>
  <property fmtid="{D5CDD505-2E9C-101B-9397-08002B2CF9AE}" pid="10" name="DATE">
    <vt:lpwstr>20230430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YER">
    <vt:lpwstr>יסמין שביט;שאדי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22588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390020230430</vt:lpwstr>
  </property>
  <property fmtid="{D5CDD505-2E9C-101B-9397-08002B2CF9AE}" pid="34" name="TYPE_N_DATE">
    <vt:lpwstr>39020230430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