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22654-11-09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מולואלם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22659-11-09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מלקמו מולואלם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טדילו טמרט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דרגה איינאו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אריאל פס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שפיק דרבאשי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LastJudge"/>
      <w:bookmarkStart w:id="4" w:name="PsakDin"/>
      <w:bookmarkEnd w:id="3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08.11.10</w:t>
      </w:r>
      <w:r>
        <w:rPr>
          <w:rtl w:val="true"/>
        </w:rPr>
        <w:t xml:space="preserve"> </w:t>
      </w:r>
      <w:r>
        <w:rPr>
          <w:rtl w:val="true"/>
        </w:rPr>
        <w:t xml:space="preserve">הנאשם הורשע על פי הודייתו בכתב האישום המתוקן בעבירה של תקיפת שוטר לפי סעיף </w:t>
      </w:r>
      <w:r>
        <w:rPr/>
        <w:t>273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 xml:space="preserve">על פי כתב האישום שבו הודה הנאשם ביום </w:t>
      </w:r>
      <w:r>
        <w:rPr/>
        <w:t>11.11.09</w:t>
      </w:r>
      <w:r>
        <w:rPr>
          <w:rtl w:val="true"/>
        </w:rPr>
        <w:t xml:space="preserve"> </w:t>
      </w:r>
      <w:r>
        <w:rPr>
          <w:rtl w:val="true"/>
        </w:rPr>
        <w:t xml:space="preserve">ניגשו שוטרים לעכב את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בגין חשד לגניבה</w:t>
      </w:r>
      <w:r>
        <w:rPr>
          <w:rtl w:val="true"/>
        </w:rPr>
        <w:t xml:space="preserve">. </w:t>
      </w:r>
      <w:r>
        <w:rPr>
          <w:rtl w:val="true"/>
        </w:rPr>
        <w:t>הנאשם סירב להתלוות לניידת</w:t>
      </w:r>
      <w:r>
        <w:rPr>
          <w:rtl w:val="true"/>
        </w:rPr>
        <w:t xml:space="preserve">, </w:t>
      </w:r>
      <w:r>
        <w:rPr>
          <w:rtl w:val="true"/>
        </w:rPr>
        <w:t>החל להשתולל</w:t>
      </w:r>
      <w:r>
        <w:rPr>
          <w:rtl w:val="true"/>
        </w:rPr>
        <w:t xml:space="preserve">. </w:t>
      </w:r>
      <w:r>
        <w:rPr>
          <w:rtl w:val="true"/>
        </w:rPr>
        <w:t>לאירוע הנ</w:t>
      </w:r>
      <w:r>
        <w:rPr>
          <w:rtl w:val="true"/>
        </w:rPr>
        <w:t>"</w:t>
      </w:r>
      <w:r>
        <w:rPr>
          <w:rtl w:val="true"/>
        </w:rPr>
        <w:t xml:space="preserve">ל הצטרפו שני אנשים נוספים שהם 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הנאשם ניסה להימלט מהניידת ודחף שוטר</w:t>
      </w:r>
      <w:r>
        <w:rPr>
          <w:rtl w:val="true"/>
        </w:rPr>
        <w:t xml:space="preserve">. </w:t>
      </w:r>
      <w:r>
        <w:rPr>
          <w:rtl w:val="true"/>
        </w:rPr>
        <w:t>הצדדים הגיעו להסכמה שהוא ישלח לקבלת תסקיר שירות המבחן כאשר המאשימה שומרת על זכותה לטעון למאסר על תנאי וקנס והסנגור חופשי לטעון להיעדר הרשעה</w:t>
      </w:r>
      <w:r>
        <w:rPr>
          <w:rtl w:val="true"/>
        </w:rPr>
        <w:t xml:space="preserve">. </w:t>
      </w:r>
      <w:r>
        <w:rPr>
          <w:rtl w:val="true"/>
        </w:rPr>
        <w:t>מתוך תסקיר שירות המבחן עולה כי הנאשם איננו מעוניין לבצע שירות לטובת הציבור</w:t>
      </w:r>
      <w:r>
        <w:rPr>
          <w:rtl w:val="true"/>
        </w:rPr>
        <w:t xml:space="preserve">. </w:t>
      </w:r>
      <w:r>
        <w:rPr>
          <w:rtl w:val="true"/>
        </w:rPr>
        <w:t>תסקיר שירות המבחן בסופו של יום איננו ממליץ על אי הרשעה והסנגור כיום גם לא עומד על 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נעדר עבר פלילי קודם</w:t>
      </w:r>
      <w:r>
        <w:rPr>
          <w:rtl w:val="true"/>
        </w:rPr>
        <w:t xml:space="preserve">, </w:t>
      </w:r>
      <w:r>
        <w:rPr>
          <w:rtl w:val="true"/>
        </w:rPr>
        <w:t xml:space="preserve">לאור הזמן שחלף מאז ביצוע העבירה וכן נסיבותיו האישיות כפי שפורטו בהרחבה בתסקיר לא מצאתי מקום להשית עליו קנס גדול יותר מזה שהושת על נאשם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מאסר על תנאי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לא יעבור עבירות נגד שורטים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הנאשם ישלם קנס בסך </w:t>
      </w:r>
      <w:r>
        <w:rPr/>
        <w:t>2,000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תשלומים שווים ורצופים</w:t>
      </w:r>
      <w:r>
        <w:rPr>
          <w:rtl w:val="true"/>
        </w:rPr>
        <w:t xml:space="preserve">. </w:t>
      </w:r>
      <w:r>
        <w:rPr>
          <w:rtl w:val="true"/>
        </w:rPr>
        <w:t xml:space="preserve">התשלום הראשון יבוצע עד ולא יאוחר מיום </w:t>
      </w:r>
      <w:r>
        <w:rPr/>
        <w:t>01.08.11</w:t>
      </w:r>
      <w:r>
        <w:rPr>
          <w:rtl w:val="true"/>
        </w:rPr>
        <w:t xml:space="preserve"> </w:t>
      </w:r>
      <w:r>
        <w:rPr>
          <w:rtl w:val="true"/>
        </w:rPr>
        <w:t xml:space="preserve">והתשלום הנוסף עד ליום </w:t>
      </w:r>
      <w:r>
        <w:rPr/>
        <w:t>01.09.11</w:t>
      </w:r>
      <w:r>
        <w:rPr>
          <w:rtl w:val="true"/>
        </w:rPr>
        <w:t xml:space="preserve">. </w:t>
      </w:r>
      <w:r>
        <w:rPr>
          <w:rtl w:val="true"/>
        </w:rPr>
        <w:t>לא ישולם מי מהתשלומים במועד</w:t>
      </w:r>
      <w:r>
        <w:rPr>
          <w:rtl w:val="true"/>
        </w:rPr>
        <w:t xml:space="preserve">, </w:t>
      </w:r>
      <w:r>
        <w:rPr>
          <w:rtl w:val="true"/>
        </w:rPr>
        <w:t>אזי יעמוד מלוא סכום הקנס לפירעון 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22654-11-09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מלקמו מולואלם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2011-06-19T12:07:00Z</dcterms:created>
  <dc:creator> </dc:creator>
  <dc:description/>
  <cp:keywords/>
  <dc:language>en-IL</dc:language>
  <cp:lastModifiedBy>eli</cp:lastModifiedBy>
  <dcterms:modified xsi:type="dcterms:W3CDTF">2011-06-19T12:07:00Z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מלקמו מולואלם;טדילו טמרט;דרגה איינאו</vt:lpwstr>
  </property>
  <property fmtid="{D5CDD505-2E9C-101B-9397-08002B2CF9AE}" pid="4" name="CITY">
    <vt:lpwstr>רמ'</vt:lpwstr>
  </property>
  <property fmtid="{D5CDD505-2E9C-101B-9397-08002B2CF9AE}" pid="5" name="DATE">
    <vt:lpwstr>20110616</vt:lpwstr>
  </property>
  <property fmtid="{D5CDD505-2E9C-101B-9397-08002B2CF9AE}" pid="6" name="JUDGE">
    <vt:lpwstr>הישאם אבו שחאדה</vt:lpwstr>
  </property>
  <property fmtid="{D5CDD505-2E9C-101B-9397-08002B2CF9AE}" pid="7" name="NEWPARTA">
    <vt:lpwstr>22654</vt:lpwstr>
  </property>
  <property fmtid="{D5CDD505-2E9C-101B-9397-08002B2CF9AE}" pid="8" name="NEWPARTB">
    <vt:lpwstr>11</vt:lpwstr>
  </property>
  <property fmtid="{D5CDD505-2E9C-101B-9397-08002B2CF9AE}" pid="9" name="NEWPARTC">
    <vt:lpwstr>09</vt:lpwstr>
  </property>
  <property fmtid="{D5CDD505-2E9C-101B-9397-08002B2CF9AE}" pid="10" name="NEWPROC">
    <vt:lpwstr>תפ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380020110616</vt:lpwstr>
  </property>
  <property fmtid="{D5CDD505-2E9C-101B-9397-08002B2CF9AE}" pid="14" name="TYPE_N_DATE">
    <vt:lpwstr>38020110616</vt:lpwstr>
  </property>
  <property fmtid="{D5CDD505-2E9C-101B-9397-08002B2CF9AE}" pid="15" name="WORDNUMPAGES">
    <vt:lpwstr>2</vt:lpwstr>
  </property>
</Properties>
</file>